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505" w:rsidRPr="006C7E94" w:rsidRDefault="004B199A" w:rsidP="006C7E94">
      <w:pPr>
        <w:jc w:val="center"/>
        <w:rPr>
          <w:b/>
          <w:sz w:val="28"/>
          <w:szCs w:val="28"/>
        </w:rPr>
      </w:pPr>
      <w:r w:rsidRPr="004B199A">
        <w:rPr>
          <w:noProof/>
        </w:rPr>
        <w:pict>
          <v:shapetype id="_x0000_t32" coordsize="21600,21600" o:spt="32" o:oned="t" path="m,l21600,21600e" filled="f">
            <v:path arrowok="t" fillok="f" o:connecttype="none"/>
            <o:lock v:ext="edit" shapetype="t"/>
          </v:shapetype>
          <v:shape id="_x0000_s1029" type="#_x0000_t32" style="position:absolute;left:0;text-align:left;margin-left:591pt;margin-top:154.4pt;width:0;height:108pt;z-index:251659776" o:connectortype="straight"/>
        </w:pict>
      </w:r>
      <w:r w:rsidRPr="004B199A">
        <w:rPr>
          <w:noProof/>
        </w:rPr>
        <w:pict>
          <v:rect id="_x0000_s1030" style="position:absolute;left:0;text-align:left;margin-left:139.25pt;margin-top:174.45pt;width:69pt;height:52pt;z-index:251632128" strokecolor="#92d050" strokeweight="2.25pt">
            <v:textbox style="mso-next-textbox:#_x0000_s1030">
              <w:txbxContent>
                <w:p w:rsidR="004B79D8" w:rsidRDefault="004B79D8" w:rsidP="00A815EA">
                  <w:pPr>
                    <w:jc w:val="center"/>
                  </w:pPr>
                  <w:r>
                    <w:t>LSS Financial Services</w:t>
                  </w:r>
                </w:p>
                <w:p w:rsidR="004B79D8" w:rsidRDefault="004B79D8" w:rsidP="00A815EA">
                  <w:pPr>
                    <w:jc w:val="center"/>
                  </w:pPr>
                </w:p>
              </w:txbxContent>
            </v:textbox>
          </v:rect>
        </w:pict>
      </w:r>
      <w:r w:rsidRPr="004B199A">
        <w:rPr>
          <w:noProof/>
        </w:rPr>
        <w:pict>
          <v:shape id="_x0000_s1034" type="#_x0000_t32" style="position:absolute;left:0;text-align:left;margin-left:878pt;margin-top:132.4pt;width:0;height:63pt;z-index:251661824" o:connectortype="straight"/>
        </w:pict>
      </w:r>
      <w:r w:rsidRPr="004B199A">
        <w:rPr>
          <w:noProof/>
        </w:rPr>
        <w:pict>
          <v:shape id="_x0000_s1035" type="#_x0000_t32" style="position:absolute;left:0;text-align:left;margin-left:541.25pt;margin-top:154.4pt;width:0;height:20pt;z-index:251658752" o:connectortype="straight"/>
        </w:pict>
      </w:r>
      <w:r w:rsidRPr="004B199A">
        <w:rPr>
          <w:noProof/>
        </w:rPr>
        <w:pict>
          <v:shape id="_x0000_s1037" type="#_x0000_t32" style="position:absolute;left:0;text-align:left;margin-left:442pt;margin-top:166.4pt;width:0;height:19pt;z-index:251652608" o:connectortype="straight"/>
        </w:pict>
      </w:r>
      <w:r w:rsidRPr="004B199A">
        <w:rPr>
          <w:noProof/>
        </w:rPr>
        <w:pict>
          <v:shape id="_x0000_s1039" type="#_x0000_t32" style="position:absolute;left:0;text-align:left;margin-left:121pt;margin-top:166.4pt;width:0;height:8pt;flip:y;z-index:251650560" o:connectortype="straight"/>
        </w:pict>
      </w:r>
      <w:r w:rsidRPr="004B199A">
        <w:rPr>
          <w:noProof/>
        </w:rPr>
        <w:pict>
          <v:shape id="_x0000_s1041" type="#_x0000_t32" style="position:absolute;left:0;text-align:left;margin-left:35pt;margin-top:238.4pt;width:0;height:13pt;z-index:251639296" o:connectortype="straight"/>
        </w:pict>
      </w:r>
      <w:r w:rsidRPr="004B199A">
        <w:rPr>
          <w:noProof/>
        </w:rPr>
        <w:pict>
          <v:shape id="_x0000_s1042" type="#_x0000_t32" style="position:absolute;left:0;text-align:left;margin-left:27pt;margin-top:238.4pt;width:54pt;height:0;flip:x;z-index:251638272" o:connectortype="straight"/>
        </w:pict>
      </w:r>
      <w:r w:rsidRPr="004B199A">
        <w:rPr>
          <w:noProof/>
        </w:rPr>
        <w:pict>
          <v:shape id="_x0000_s1043" type="#_x0000_t32" style="position:absolute;left:0;text-align:left;margin-left:-12pt;margin-top:238.4pt;width:47pt;height:0;z-index:251637248" o:connectortype="straight"/>
        </w:pict>
      </w:r>
      <w:r w:rsidRPr="004B199A">
        <w:rPr>
          <w:noProof/>
        </w:rPr>
        <w:pict>
          <v:shape id="_x0000_s1044" type="#_x0000_t32" style="position:absolute;left:0;text-align:left;margin-left:81pt;margin-top:220.4pt;width:0;height:18pt;z-index:251635200" o:connectortype="straight"/>
        </w:pict>
      </w:r>
      <w:r w:rsidRPr="004B199A">
        <w:rPr>
          <w:noProof/>
        </w:rPr>
        <w:pict>
          <v:shape id="_x0000_s1045" type="#_x0000_t32" style="position:absolute;left:0;text-align:left;margin-left:-12pt;margin-top:220.4pt;width:0;height:18pt;z-index:251634176" o:connectortype="straight"/>
        </w:pict>
      </w:r>
      <w:r w:rsidRPr="004B199A">
        <w:rPr>
          <w:noProof/>
        </w:rPr>
        <w:pict>
          <v:rect id="_x0000_s1046" style="position:absolute;left:0;text-align:left;margin-left:44.5pt;margin-top:174.4pt;width:83.5pt;height:46pt;z-index:251630080" strokecolor="#92d050" strokeweight="2.25pt">
            <v:textbox style="mso-next-textbox:#_x0000_s1046">
              <w:txbxContent>
                <w:p w:rsidR="004B79D8" w:rsidRDefault="004B79D8" w:rsidP="00A815EA">
                  <w:pPr>
                    <w:jc w:val="center"/>
                  </w:pPr>
                  <w:r>
                    <w:t>Foundations and United Ways</w:t>
                  </w:r>
                </w:p>
              </w:txbxContent>
            </v:textbox>
          </v:rect>
        </w:pict>
      </w:r>
      <w:r w:rsidR="00EE6505" w:rsidRPr="00135924">
        <w:rPr>
          <w:b/>
          <w:sz w:val="28"/>
          <w:szCs w:val="28"/>
        </w:rPr>
        <w:t>MAP OF FINANCIAL</w:t>
      </w:r>
      <w:r w:rsidR="00EE6505" w:rsidRPr="006C7E94">
        <w:rPr>
          <w:b/>
          <w:bCs/>
          <w:sz w:val="28"/>
          <w:szCs w:val="28"/>
        </w:rPr>
        <w:t>: Basic Federal, State &amp; Local</w:t>
      </w:r>
    </w:p>
    <w:p w:rsidR="00EE6505" w:rsidRDefault="004B199A" w:rsidP="00A31C0D">
      <w:pPr>
        <w:ind w:left="-1260" w:right="-1440"/>
        <w:rPr>
          <w:b/>
          <w:sz w:val="28"/>
          <w:szCs w:val="28"/>
        </w:rPr>
      </w:pPr>
      <w:r w:rsidRPr="004B199A">
        <w:rPr>
          <w:noProof/>
        </w:rPr>
        <w:pict>
          <v:shape id="_x0000_s1130" type="#_x0000_t32" style="position:absolute;left:0;text-align:left;margin-left:816.75pt;margin-top:41.3pt;width:.75pt;height:97pt;z-index:251714048" o:connectortype="straight" strokecolor="black [3213]"/>
        </w:pict>
      </w:r>
      <w:r w:rsidRPr="004B199A">
        <w:rPr>
          <w:noProof/>
        </w:rPr>
        <w:pict>
          <v:rect id="_x0000_s1128" style="position:absolute;left:0;text-align:left;margin-left:776pt;margin-top:8.55pt;width:97.75pt;height:32.75pt;z-index:251712000" fillcolor="white [3212]" strokecolor="#0070c0" strokeweight="2.25pt">
            <v:shadow on="t" type="perspective" color="#243f60 [1604]" opacity=".5" offset="1pt" offset2="-1pt"/>
            <v:textbox>
              <w:txbxContent>
                <w:p w:rsidR="004B79D8" w:rsidRDefault="004B79D8" w:rsidP="004B79D8">
                  <w:pPr>
                    <w:jc w:val="center"/>
                  </w:pPr>
                  <w:r>
                    <w:t>MN Department of Commerce</w:t>
                  </w:r>
                </w:p>
              </w:txbxContent>
            </v:textbox>
          </v:rect>
        </w:pict>
      </w:r>
      <w:r w:rsidRPr="004B199A">
        <w:rPr>
          <w:noProof/>
        </w:rPr>
        <w:pict>
          <v:shape id="_x0000_s1053" type="#_x0000_t32" style="position:absolute;left:0;text-align:left;margin-left:789.95pt;margin-top:94.55pt;width:.05pt;height:49.75pt;flip:x;z-index:251660800;mso-position-horizontal-relative:text;mso-position-vertical-relative:text" o:connectortype="straight"/>
        </w:pict>
      </w:r>
      <w:r w:rsidR="004E5E81">
        <w:rPr>
          <w:b/>
          <w:noProof/>
          <w:sz w:val="28"/>
          <w:szCs w:val="28"/>
        </w:rPr>
        <w:drawing>
          <wp:inline distT="0" distB="0" distL="0" distR="0">
            <wp:extent cx="202311" cy="1619250"/>
            <wp:effectExtent l="6096" t="0" r="1143" b="0"/>
            <wp:docPr id="2" name="Object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0025" cy="1647825"/>
                      <a:chOff x="0" y="0"/>
                      <a:chExt cx="200025" cy="1647825"/>
                    </a:xfrm>
                  </a:grpSpPr>
                  <a:sp>
                    <a:nvSpPr>
                      <a:cNvPr id="2060" name="TEMPLATE_LANE1"/>
                      <a:cNvSpPr>
                        <a:spLocks noChangeArrowheads="1"/>
                      </a:cNvSpPr>
                    </a:nvSpPr>
                    <a:spPr bwMode="auto">
                      <a:xfrm>
                        <a:off x="0" y="0"/>
                        <a:ext cx="200025" cy="1647825"/>
                      </a:xfrm>
                      <a:prstGeom prst="flowChartProcess">
                        <a:avLst/>
                      </a:prstGeom>
                      <a:solidFill>
                        <a:srgbClr val="99CCFF"/>
                      </a:solidFill>
                      <a:ln w="9525" algn="ctr">
                        <a:solidFill>
                          <a:srgbClr val="000000"/>
                        </a:solidFill>
                        <a:miter lim="800000"/>
                        <a:headEnd/>
                        <a:tailEnd/>
                      </a:ln>
                      <a:effectLst/>
                    </a:spPr>
                    <a:txSp>
                      <a:txBody>
                        <a:bodyPr vertOverflow="clip" vert="vert270"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en-US" sz="1000" b="1" i="0" u="none" strike="noStrike" baseline="0">
                              <a:solidFill>
                                <a:srgbClr val="000000"/>
                              </a:solidFill>
                              <a:latin typeface="Arial"/>
                              <a:cs typeface="Arial"/>
                            </a:rPr>
                            <a:t>Federal</a:t>
                          </a:r>
                        </a:p>
                      </a:txBody>
                      <a:useSpRect/>
                    </a:txSp>
                  </a:sp>
                </lc:lockedCanvas>
              </a:graphicData>
            </a:graphic>
          </wp:inline>
        </w:drawing>
      </w:r>
      <w:r w:rsidRPr="004B199A">
        <w:rPr>
          <w:noProof/>
        </w:rPr>
        <w:pict>
          <v:rect id="_x0000_s1047" style="position:absolute;left:0;text-align:left;margin-left:480pt;margin-top:49.55pt;width:103pt;height:69.15pt;z-index:251627008;mso-position-horizontal-relative:text;mso-position-vertical-relative:text" strokecolor="#0070c0" strokeweight="2.25pt">
            <v:textbox style="mso-next-textbox:#_x0000_s1047">
              <w:txbxContent>
                <w:p w:rsidR="004B79D8" w:rsidRDefault="004B79D8" w:rsidP="00BD638E">
                  <w:pPr>
                    <w:jc w:val="center"/>
                  </w:pPr>
                  <w:smartTag w:uri="urn:schemas-microsoft-com:office:smarttags" w:element="place">
                    <w:smartTag w:uri="urn:schemas-microsoft-com:office:smarttags" w:element="country-region">
                      <w:r>
                        <w:t>U.S.</w:t>
                      </w:r>
                    </w:smartTag>
                  </w:smartTag>
                  <w:r>
                    <w:t xml:space="preserve"> Department of Treasury, Office of Financial Education and Financial Access</w:t>
                  </w:r>
                </w:p>
              </w:txbxContent>
            </v:textbox>
          </v:rect>
        </w:pict>
      </w:r>
      <w:r w:rsidRPr="004B199A">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48" type="#_x0000_t69" style="position:absolute;left:0;text-align:left;margin-left:81pt;margin-top:116.3pt;width:695pt;height:28pt;z-index:251655680;mso-position-horizontal-relative:text;mso-position-vertical-relative:text" fillcolor="#92d050" strokecolor="#92d050">
            <v:fill opacity="58982f" color2="fill lighten(188)" rotate="t" method="linear sigma" type="gradient"/>
            <v:textbox style="mso-next-textbox:#_x0000_s1048">
              <w:txbxContent>
                <w:p w:rsidR="004B79D8" w:rsidRPr="00427934" w:rsidRDefault="004B79D8" w:rsidP="00FC7227">
                  <w:pPr>
                    <w:jc w:val="center"/>
                    <w:rPr>
                      <w:b/>
                      <w:sz w:val="22"/>
                      <w:szCs w:val="22"/>
                    </w:rPr>
                  </w:pPr>
                  <w:smartTag w:uri="urn:schemas-microsoft-com:office:smarttags" w:element="place">
                    <w:smartTag w:uri="urn:schemas-microsoft-com:office:smarttags" w:element="State">
                      <w:r w:rsidRPr="00427934">
                        <w:rPr>
                          <w:b/>
                          <w:sz w:val="22"/>
                          <w:szCs w:val="22"/>
                        </w:rPr>
                        <w:t>Minnesota</w:t>
                      </w:r>
                    </w:smartTag>
                  </w:smartTag>
                  <w:r w:rsidRPr="00427934">
                    <w:rPr>
                      <w:b/>
                      <w:sz w:val="22"/>
                      <w:szCs w:val="22"/>
                    </w:rPr>
                    <w:t xml:space="preserve"> Financial Fitness Network</w:t>
                  </w:r>
                </w:p>
              </w:txbxContent>
            </v:textbox>
          </v:shape>
        </w:pict>
      </w:r>
      <w:r w:rsidRPr="004B199A">
        <w:rPr>
          <w:noProof/>
        </w:rPr>
        <w:pict>
          <v:rect id="_x0000_s1049" style="position:absolute;left:0;text-align:left;margin-left:638.15pt;margin-top:10.55pt;width:96pt;height:30.75pt;z-index:251696640;mso-position-horizontal-relative:text;mso-position-vertical-relative:text" strokecolor="#0070c0" strokeweight="2.25pt">
            <v:textbox style="mso-next-textbox:#_x0000_s1049">
              <w:txbxContent>
                <w:p w:rsidR="004B79D8" w:rsidRDefault="004B79D8" w:rsidP="007D2E79">
                  <w:pPr>
                    <w:jc w:val="center"/>
                  </w:pPr>
                  <w:r>
                    <w:t>Oweesta</w:t>
                  </w:r>
                </w:p>
              </w:txbxContent>
            </v:textbox>
          </v:rect>
        </w:pict>
      </w:r>
      <w:r w:rsidRPr="004B199A">
        <w:rPr>
          <w:noProof/>
        </w:rPr>
        <w:pict>
          <v:rect id="_x0000_s1050" style="position:absolute;left:0;text-align:left;margin-left:425pt;margin-top:8.55pt;width:140.4pt;height:32.75pt;z-index:251620864;mso-position-horizontal-relative:text;mso-position-vertical-relative:text" strokecolor="#0070c0" strokeweight="2.25pt">
            <v:textbox style="mso-next-textbox:#_x0000_s1050">
              <w:txbxContent>
                <w:p w:rsidR="004B79D8" w:rsidRDefault="004B79D8" w:rsidP="00EE712D">
                  <w:pPr>
                    <w:jc w:val="center"/>
                  </w:pPr>
                  <w:r>
                    <w:t>Banks and Credit Unions</w:t>
                  </w:r>
                </w:p>
              </w:txbxContent>
            </v:textbox>
          </v:rect>
        </w:pict>
      </w:r>
      <w:r w:rsidRPr="004B199A">
        <w:rPr>
          <w:noProof/>
        </w:rPr>
        <w:pict>
          <v:rect id="_x0000_s1051" style="position:absolute;left:0;text-align:left;margin-left:112.25pt;margin-top:8.55pt;width:96pt;height:41pt;z-index:251618816;mso-position-horizontal-relative:text;mso-position-vertical-relative:text" strokecolor="#0070c0" strokeweight="2.25pt">
            <v:textbox style="mso-next-textbox:#_x0000_s1051">
              <w:txbxContent>
                <w:p w:rsidR="004B79D8" w:rsidRDefault="004B79D8" w:rsidP="0002740A">
                  <w:pPr>
                    <w:jc w:val="center"/>
                  </w:pPr>
                  <w:r>
                    <w:t>Anne E. Casey Foundation</w:t>
                  </w:r>
                </w:p>
              </w:txbxContent>
            </v:textbox>
          </v:rect>
        </w:pict>
      </w:r>
      <w:r w:rsidRPr="004B199A">
        <w:rPr>
          <w:noProof/>
        </w:rPr>
        <w:pict>
          <v:shape id="_x0000_s1052" type="#_x0000_t32" style="position:absolute;left:0;text-align:left;margin-left:465.8pt;margin-top:41.3pt;width:.15pt;height:80.9pt;flip:x;z-index:251686400;mso-position-horizontal-relative:text;mso-position-vertical-relative:text" o:connectortype="straight" strokecolor="#0070c0" strokeweight="2.25pt"/>
        </w:pict>
      </w:r>
      <w:r w:rsidRPr="004B199A">
        <w:rPr>
          <w:noProof/>
        </w:rPr>
        <w:pict>
          <v:rect id="_x0000_s1054" style="position:absolute;left:0;text-align:left;margin-left:289.85pt;margin-top:4.55pt;width:105pt;height:45pt;z-index:251622912;mso-position-horizontal-relative:text;mso-position-vertical-relative:text" strokecolor="#0070c0" strokeweight="2.25pt">
            <v:textbox style="mso-next-textbox:#_x0000_s1054">
              <w:txbxContent>
                <w:p w:rsidR="004B79D8" w:rsidRDefault="004B79D8" w:rsidP="0002740A">
                  <w:pPr>
                    <w:jc w:val="center"/>
                  </w:pPr>
                  <w:r>
                    <w:t>Center for Financial Services Innovation</w:t>
                  </w:r>
                </w:p>
                <w:p w:rsidR="004B79D8" w:rsidRDefault="004B79D8" w:rsidP="0002740A">
                  <w:pPr>
                    <w:jc w:val="center"/>
                  </w:pPr>
                  <w:r>
                    <w:t>(CFSI)</w:t>
                  </w:r>
                </w:p>
              </w:txbxContent>
            </v:textbox>
          </v:rect>
        </w:pict>
      </w:r>
      <w:r w:rsidRPr="004B199A">
        <w:rPr>
          <w:noProof/>
        </w:rPr>
        <w:pict>
          <v:shape id="_x0000_s1057" type="#_x0000_t32" style="position:absolute;left:0;text-align:left;margin-left:208.25pt;margin-top:188.9pt;width:7.75pt;height:0;flip:x;z-index:251691520;mso-position-horizontal-relative:text;mso-position-vertical-relative:text" o:connectortype="straight"/>
        </w:pict>
      </w:r>
      <w:r w:rsidRPr="004B199A">
        <w:rPr>
          <w:noProof/>
        </w:rPr>
        <w:pict>
          <v:shape id="_x0000_s1064" type="#_x0000_t32" style="position:absolute;left:0;text-align:left;margin-left:318.7pt;margin-top:301.3pt;width:0;height:30.95pt;z-index:251675136;mso-position-horizontal-relative:text;mso-position-vertical-relative:text" o:connectortype="straight"/>
        </w:pict>
      </w:r>
      <w:r w:rsidRPr="004B199A">
        <w:rPr>
          <w:noProof/>
        </w:rPr>
        <w:pict>
          <v:rect id="_x0000_s1065" style="position:absolute;left:0;text-align:left;margin-left:295.75pt;margin-top:382.3pt;width:89.25pt;height:38pt;z-index:251673088;mso-position-horizontal-relative:text;mso-position-vertical-relative:text" strokecolor="#e36c0a" strokeweight="2.25pt">
            <v:textbox style="mso-next-textbox:#_x0000_s1065">
              <w:txbxContent>
                <w:p w:rsidR="004B79D8" w:rsidRDefault="004B79D8" w:rsidP="00C30D3A">
                  <w:pPr>
                    <w:jc w:val="center"/>
                  </w:pPr>
                  <w:r>
                    <w:t>AccountAbility MN</w:t>
                  </w:r>
                </w:p>
              </w:txbxContent>
            </v:textbox>
          </v:rect>
        </w:pict>
      </w:r>
      <w:r w:rsidRPr="004B199A">
        <w:rPr>
          <w:noProof/>
        </w:rPr>
        <w:pict>
          <v:shape id="_x0000_s1066" type="#_x0000_t32" style="position:absolute;left:0;text-align:left;margin-left:385pt;margin-top:391.1pt;width:95pt;height:0;flip:x;z-index:251690496;mso-position-horizontal-relative:text;mso-position-vertical-relative:text" o:connectortype="straight"/>
        </w:pict>
      </w:r>
      <w:r w:rsidRPr="004B199A">
        <w:rPr>
          <w:noProof/>
        </w:rPr>
        <w:pict>
          <v:shape id="_x0000_s1067" type="#_x0000_t32" style="position:absolute;left:0;text-align:left;margin-left:465.9pt;margin-top:138.3pt;width:.05pt;height:20pt;z-index:251685376;mso-position-horizontal-relative:text;mso-position-vertical-relative:text" o:connectortype="straight" strokecolor="#0070c0" strokeweight="2.25pt"/>
        </w:pict>
      </w:r>
      <w:r w:rsidRPr="004B199A">
        <w:rPr>
          <w:noProof/>
        </w:rPr>
        <w:pict>
          <v:shape id="_x0000_s1068" type="#_x0000_t32" style="position:absolute;left:0;text-align:left;margin-left:57pt;margin-top:103.05pt;width:0;height:13.25pt;z-index:251688448;mso-position-horizontal-relative:text;mso-position-vertical-relative:text" o:connectortype="straight"/>
        </w:pict>
      </w:r>
      <w:r w:rsidRPr="004B199A">
        <w:rPr>
          <w:noProof/>
        </w:rPr>
        <w:pict>
          <v:shape id="_x0000_s1069" type="#_x0000_t32" style="position:absolute;left:0;text-align:left;margin-left:18pt;margin-top:116.3pt;width:39pt;height:0;z-index:251687424;mso-position-horizontal-relative:text;mso-position-vertical-relative:text" o:connectortype="straight"/>
        </w:pict>
      </w:r>
      <w:r w:rsidRPr="004B199A">
        <w:rPr>
          <w:noProof/>
        </w:rPr>
        <w:pict>
          <v:shape id="_x0000_s1070" type="#_x0000_t32" style="position:absolute;left:0;text-align:left;margin-left:18pt;margin-top:116.3pt;width:.05pt;height:42.05pt;z-index:251633152;mso-position-horizontal-relative:text;mso-position-vertical-relative:text" o:connectortype="straight"/>
        </w:pict>
      </w:r>
      <w:r w:rsidRPr="004B199A">
        <w:rPr>
          <w:noProof/>
        </w:rPr>
        <w:pict>
          <v:rect id="_x0000_s1071" style="position:absolute;left:0;text-align:left;margin-left:827pt;margin-top:49.55pt;width:69pt;height:66.75pt;z-index:251631104;mso-position-horizontal-relative:text;mso-position-vertical-relative:text" fillcolor="#ff9" strokecolor="#0070c0" strokeweight="2.25pt">
            <v:textbox style="mso-next-textbox:#_x0000_s1071">
              <w:txbxContent>
                <w:p w:rsidR="004B79D8" w:rsidRDefault="004B79D8" w:rsidP="00A815EA">
                  <w:pPr>
                    <w:jc w:val="center"/>
                  </w:pPr>
                  <w:r>
                    <w:t>National Council of Economic Education</w:t>
                  </w:r>
                </w:p>
              </w:txbxContent>
            </v:textbox>
          </v:rect>
        </w:pict>
      </w:r>
      <w:r w:rsidRPr="004B199A">
        <w:rPr>
          <w:noProof/>
        </w:rPr>
        <w:pict>
          <v:rect id="_x0000_s1072" style="position:absolute;left:0;text-align:left;margin-left:713pt;margin-top:49.55pt;width:96.75pt;height:45pt;z-index:251624960;mso-position-horizontal-relative:text;mso-position-vertical-relative:text" fillcolor="#ff9" strokecolor="#0070c0" strokeweight="2.25pt">
            <v:textbox style="mso-next-textbox:#_x0000_s1072">
              <w:txbxContent>
                <w:p w:rsidR="004B79D8" w:rsidRDefault="004B79D8" w:rsidP="0002740A">
                  <w:pPr>
                    <w:jc w:val="center"/>
                  </w:pPr>
                  <w:smartTag w:uri="urn:schemas-microsoft-com:office:smarttags" w:element="place">
                    <w:smartTag w:uri="urn:schemas-microsoft-com:office:smarttags" w:element="country-region">
                      <w:r>
                        <w:t>U.S.</w:t>
                      </w:r>
                    </w:smartTag>
                  </w:smartTag>
                  <w:r>
                    <w:t xml:space="preserve"> Department of Education</w:t>
                  </w:r>
                </w:p>
              </w:txbxContent>
            </v:textbox>
          </v:rect>
        </w:pict>
      </w:r>
      <w:r w:rsidRPr="004B199A">
        <w:rPr>
          <w:noProof/>
        </w:rPr>
        <w:pict>
          <v:rect id="_x0000_s1073" style="position:absolute;left:0;text-align:left;margin-left:597pt;margin-top:53.05pt;width:95.05pt;height:47.5pt;z-index:251625984;mso-position-horizontal-relative:text;mso-position-vertical-relative:text" strokecolor="#0070c0" strokeweight="2.25pt">
            <v:textbox style="mso-next-textbox:#_x0000_s1073">
              <w:txbxContent>
                <w:p w:rsidR="004B79D8" w:rsidRDefault="004B79D8" w:rsidP="002F20B4">
                  <w:pPr>
                    <w:jc w:val="center"/>
                  </w:pPr>
                  <w:r>
                    <w:t>National Funders and Research Institutions</w:t>
                  </w:r>
                </w:p>
              </w:txbxContent>
            </v:textbox>
          </v:rect>
        </w:pict>
      </w:r>
      <w:r w:rsidRPr="004B199A">
        <w:rPr>
          <w:noProof/>
        </w:rPr>
        <w:pict>
          <v:rect id="_x0000_s1074" style="position:absolute;left:0;text-align:left;margin-left:376.75pt;margin-top:53.05pt;width:74.25pt;height:63.25pt;z-index:251623936;mso-position-horizontal-relative:text;mso-position-vertical-relative:text" strokecolor="#0070c0" strokeweight="2.25pt">
            <v:textbox style="mso-next-textbox:#_x0000_s1074">
              <w:txbxContent>
                <w:p w:rsidR="004B79D8" w:rsidRDefault="004B79D8" w:rsidP="0002740A">
                  <w:pPr>
                    <w:jc w:val="center"/>
                  </w:pPr>
                  <w:r>
                    <w:t xml:space="preserve">Federal Reserve Bank of </w:t>
                  </w:r>
                  <w:smartTag w:uri="urn:schemas-microsoft-com:office:smarttags" w:element="place">
                    <w:smartTag w:uri="urn:schemas-microsoft-com:office:smarttags" w:element="City">
                      <w:r>
                        <w:t>Minneapolis</w:t>
                      </w:r>
                    </w:smartTag>
                  </w:smartTag>
                </w:p>
              </w:txbxContent>
            </v:textbox>
          </v:rect>
        </w:pict>
      </w:r>
      <w:r w:rsidRPr="004B199A">
        <w:rPr>
          <w:noProof/>
        </w:rPr>
        <w:pict>
          <v:rect id="_x0000_s1075" style="position:absolute;left:0;text-align:left;margin-left:35pt;margin-top:55.55pt;width:84pt;height:47.5pt;z-index:251628032;mso-position-horizontal-relative:text;mso-position-vertical-relative:text" strokecolor="#0070c0" strokeweight="2.25pt">
            <v:textbox style="mso-next-textbox:#_x0000_s1075">
              <w:txbxContent>
                <w:p w:rsidR="004B79D8" w:rsidRDefault="004B79D8">
                  <w:r>
                    <w:t>U.S. Department of H.H.S., A.F.I.</w:t>
                  </w:r>
                </w:p>
              </w:txbxContent>
            </v:textbox>
          </v:rect>
        </w:pict>
      </w:r>
      <w:r w:rsidRPr="004B199A">
        <w:rPr>
          <w:noProof/>
        </w:rPr>
        <w:pict>
          <v:rect id="_x0000_s1076" style="position:absolute;left:0;text-align:left;margin-left:128pt;margin-top:55.55pt;width:104.25pt;height:54.75pt;z-index:251619840;mso-position-horizontal-relative:text;mso-position-vertical-relative:text" strokecolor="#0070c0" strokeweight="2.25pt">
            <v:textbox style="mso-next-textbox:#_x0000_s1076">
              <w:txbxContent>
                <w:p w:rsidR="004B79D8" w:rsidRDefault="004B79D8" w:rsidP="0002740A">
                  <w:pPr>
                    <w:jc w:val="center"/>
                  </w:pPr>
                  <w:r>
                    <w:t xml:space="preserve">Corporation For </w:t>
                  </w:r>
                  <w:smartTag w:uri="urn:schemas-microsoft-com:office:smarttags" w:element="place">
                    <w:smartTag w:uri="urn:schemas-microsoft-com:office:smarttags" w:element="City">
                      <w:r>
                        <w:t>Enterprise</w:t>
                      </w:r>
                    </w:smartTag>
                  </w:smartTag>
                  <w:r>
                    <w:t xml:space="preserve"> Development (CFED)</w:t>
                  </w:r>
                </w:p>
                <w:p w:rsidR="004B79D8" w:rsidRDefault="004B79D8"/>
              </w:txbxContent>
            </v:textbox>
          </v:rect>
        </w:pict>
      </w:r>
      <w:r w:rsidRPr="004B199A">
        <w:rPr>
          <w:noProof/>
        </w:rPr>
        <w:pict>
          <v:rect id="_x0000_s1077" style="position:absolute;left:0;text-align:left;margin-left:271pt;margin-top:55.55pt;width:94pt;height:54.75pt;z-index:251621888;mso-position-horizontal-relative:text;mso-position-vertical-relative:text" strokecolor="#0070c0" strokeweight="2.25pt">
            <v:textbox style="mso-next-textbox:#_x0000_s1077">
              <w:txbxContent>
                <w:p w:rsidR="004B79D8" w:rsidRDefault="004B79D8" w:rsidP="0002740A">
                  <w:pPr>
                    <w:jc w:val="center"/>
                  </w:pPr>
                  <w:r>
                    <w:t>National Endowment For Education (NEFE)</w:t>
                  </w:r>
                </w:p>
              </w:txbxContent>
            </v:textbox>
          </v:rect>
        </w:pict>
      </w:r>
    </w:p>
    <w:p w:rsidR="00EE6505" w:rsidRDefault="004B199A" w:rsidP="00A31C0D">
      <w:pPr>
        <w:ind w:left="-1440" w:right="-1440" w:hanging="270"/>
        <w:rPr>
          <w:b/>
          <w:sz w:val="28"/>
          <w:szCs w:val="28"/>
        </w:rPr>
      </w:pPr>
      <w:r w:rsidRPr="004B199A">
        <w:rPr>
          <w:noProof/>
        </w:rPr>
        <w:pict>
          <v:shape id="_x0000_s1089" type="#_x0000_t32" style="position:absolute;left:0;text-align:left;margin-left:650.75pt;margin-top:94.85pt;width:.05pt;height:26.15pt;z-index:251681280" o:connectortype="straight"/>
        </w:pict>
      </w:r>
      <w:r w:rsidRPr="004B199A">
        <w:rPr>
          <w:noProof/>
        </w:rPr>
        <w:pict>
          <v:rect id="_x0000_s1129" style="position:absolute;left:0;text-align:left;margin-left:606pt;margin-top:48.85pt;width:52.5pt;height:46.3pt;z-index:251713024" fillcolor="#ff9" strokecolor="#92d050" strokeweight="2.25pt">
            <v:textbox>
              <w:txbxContent>
                <w:p w:rsidR="00F40B17" w:rsidRDefault="00F40B17" w:rsidP="00F40B17">
                  <w:pPr>
                    <w:jc w:val="center"/>
                  </w:pPr>
                  <w:r>
                    <w:t>Best Prep</w:t>
                  </w:r>
                </w:p>
              </w:txbxContent>
            </v:textbox>
          </v:rect>
        </w:pict>
      </w:r>
      <w:r w:rsidRPr="004B199A">
        <w:rPr>
          <w:noProof/>
        </w:rPr>
        <w:pict>
          <v:shape id="_x0000_s1127" type="#_x0000_t32" style="position:absolute;left:0;text-align:left;margin-left:861pt;margin-top:41.85pt;width:0;height:5.75pt;z-index:251710976" o:connectortype="straight"/>
        </w:pict>
      </w:r>
      <w:r w:rsidRPr="004B199A">
        <w:rPr>
          <w:noProof/>
        </w:rPr>
        <w:pict>
          <v:shape id="_x0000_s1125" type="#_x0000_t32" style="position:absolute;left:0;text-align:left;margin-left:767.25pt;margin-top:41.85pt;width:0;height:5.75pt;z-index:251709952" o:connectortype="straight"/>
        </w:pict>
      </w:r>
      <w:r w:rsidRPr="004B199A">
        <w:rPr>
          <w:noProof/>
        </w:rPr>
        <w:pict>
          <v:shape id="_x0000_s1124" type="#_x0000_t32" style="position:absolute;left:0;text-align:left;margin-left:692.05pt;margin-top:41.85pt;width:0;height:5.75pt;z-index:251708928" o:connectortype="straight"/>
        </w:pict>
      </w:r>
      <w:r w:rsidRPr="004B199A">
        <w:rPr>
          <w:noProof/>
        </w:rPr>
        <w:pict>
          <v:shape id="_x0000_s1123" type="#_x0000_t32" style="position:absolute;left:0;text-align:left;margin-left:644.25pt;margin-top:41.85pt;width:0;height:5.75pt;z-index:251707904" o:connectortype="straight"/>
        </w:pict>
      </w:r>
      <w:r w:rsidRPr="004B199A">
        <w:rPr>
          <w:noProof/>
        </w:rPr>
        <w:pict>
          <v:shape id="_x0000_s1122" type="#_x0000_t32" style="position:absolute;left:0;text-align:left;margin-left:644.25pt;margin-top:41.85pt;width:216.75pt;height:0;z-index:251706880" o:connectortype="straight"/>
        </w:pict>
      </w:r>
      <w:r w:rsidRPr="004B199A">
        <w:rPr>
          <w:noProof/>
        </w:rPr>
        <w:pict>
          <v:shape id="_x0000_s1121" type="#_x0000_t32" style="position:absolute;left:0;text-align:left;margin-left:789.95pt;margin-top:36.65pt;width:0;height:5.2pt;z-index:251705856" o:connectortype="straight"/>
        </w:pict>
      </w:r>
      <w:r w:rsidRPr="004B199A">
        <w:rPr>
          <w:noProof/>
        </w:rPr>
        <w:pict>
          <v:rect id="_x0000_s1085" style="position:absolute;left:0;text-align:left;margin-left:759.45pt;margin-top:10.85pt;width:63.05pt;height:25.8pt;z-index:251678208" fillcolor="#ff9" strokecolor="#92d050" strokeweight="2.25pt">
            <v:textbox style="mso-next-textbox:#_x0000_s1085">
              <w:txbxContent>
                <w:p w:rsidR="004B79D8" w:rsidRDefault="004B79D8" w:rsidP="004F2DE1">
                  <w:pPr>
                    <w:jc w:val="center"/>
                  </w:pPr>
                  <w:r>
                    <w:t>Jumpstart</w:t>
                  </w:r>
                </w:p>
              </w:txbxContent>
            </v:textbox>
          </v:rect>
        </w:pict>
      </w:r>
      <w:r w:rsidRPr="004B199A">
        <w:rPr>
          <w:noProof/>
        </w:rPr>
        <w:pict>
          <v:shape id="_x0000_s1087" type="#_x0000_t32" style="position:absolute;left:0;text-align:left;margin-left:789.95pt;margin-top:100.85pt;width:.2pt;height:20.55pt;z-index:251665920" o:connectortype="straight"/>
        </w:pict>
      </w:r>
      <w:r w:rsidRPr="004B199A">
        <w:rPr>
          <w:noProof/>
        </w:rPr>
        <w:pict>
          <v:rect id="_x0000_s1092" style="position:absolute;left:0;text-align:left;margin-left:667pt;margin-top:48.85pt;width:57.25pt;height:46pt;z-index:251679232" fillcolor="#ff9" strokecolor="#92d050" strokeweight="2.25pt">
            <v:textbox style="mso-next-textbox:#_x0000_s1092">
              <w:txbxContent>
                <w:p w:rsidR="004B79D8" w:rsidRDefault="004B79D8" w:rsidP="004F2DE1">
                  <w:pPr>
                    <w:jc w:val="center"/>
                  </w:pPr>
                  <w:r>
                    <w:t>Junior Achieve-ment</w:t>
                  </w:r>
                </w:p>
              </w:txbxContent>
            </v:textbox>
          </v:rect>
        </w:pict>
      </w:r>
      <w:r w:rsidRPr="004B199A">
        <w:rPr>
          <w:noProof/>
        </w:rPr>
        <w:pict>
          <v:shape id="_x0000_s1088" type="#_x0000_t32" style="position:absolute;left:0;text-align:left;margin-left:712.95pt;margin-top:95.15pt;width:.05pt;height:26.3pt;z-index:251682304" o:connectortype="straight"/>
        </w:pict>
      </w:r>
      <w:r w:rsidRPr="004B199A">
        <w:rPr>
          <w:noProof/>
        </w:rPr>
        <w:pict>
          <v:shape id="_x0000_s1027" type="#_x0000_t32" style="position:absolute;left:0;text-align:left;margin-left:651.05pt;margin-top:120.05pt;width:62pt;height:0;z-index:251683328" o:connectortype="straight"/>
        </w:pict>
      </w:r>
      <w:r w:rsidRPr="004B199A">
        <w:rPr>
          <w:noProof/>
        </w:rPr>
        <w:pict>
          <v:shape id="_x0000_s1026" type="#_x0000_t32" style="position:absolute;left:0;text-align:left;margin-left:687pt;margin-top:121.4pt;width:.05pt;height:31.35pt;z-index:251684352" o:connectortype="straight"/>
        </w:pict>
      </w:r>
      <w:r w:rsidRPr="004B199A">
        <w:rPr>
          <w:noProof/>
        </w:rPr>
        <w:pict>
          <v:rect id="_x0000_s1091" style="position:absolute;left:0;text-align:left;margin-left:742pt;margin-top:47.6pt;width:85pt;height:53pt;z-index:251664896" fillcolor="#ff9" strokecolor="#92d050" strokeweight="2.25pt">
            <v:textbox style="mso-next-textbox:#_x0000_s1091">
              <w:txbxContent>
                <w:p w:rsidR="004B79D8" w:rsidRDefault="004B79D8" w:rsidP="00A9596F">
                  <w:pPr>
                    <w:jc w:val="center"/>
                  </w:pPr>
                  <w:r>
                    <w:t>MN Department of Education</w:t>
                  </w:r>
                </w:p>
              </w:txbxContent>
            </v:textbox>
          </v:rect>
        </w:pict>
      </w:r>
      <w:r w:rsidRPr="004B199A">
        <w:rPr>
          <w:noProof/>
        </w:rPr>
        <w:pict>
          <v:rect id="_x0000_s1090" style="position:absolute;left:0;text-align:left;margin-left:831.5pt;margin-top:47.6pt;width:73pt;height:53pt;z-index:251663872" fillcolor="#ff9" strokecolor="#92d050" strokeweight="2.25pt">
            <v:textbox style="mso-next-textbox:#_x0000_s1090">
              <w:txbxContent>
                <w:p w:rsidR="004B79D8" w:rsidRDefault="004B79D8" w:rsidP="00A9596F">
                  <w:pPr>
                    <w:jc w:val="center"/>
                  </w:pPr>
                  <w:r>
                    <w:t>MN Council of Economic Education</w:t>
                  </w:r>
                </w:p>
              </w:txbxContent>
            </v:textbox>
          </v:rect>
        </w:pict>
      </w:r>
      <w:r w:rsidRPr="004B199A">
        <w:rPr>
          <w:noProof/>
        </w:rPr>
        <w:pict>
          <v:shape id="_x0000_s1086" type="#_x0000_t32" style="position:absolute;left:0;text-align:left;margin-left:885.15pt;margin-top:100.85pt;width:.05pt;height:18.95pt;z-index:251666944" o:connectortype="straight"/>
        </w:pict>
      </w:r>
      <w:r w:rsidRPr="004B199A">
        <w:rPr>
          <w:noProof/>
        </w:rPr>
        <w:pict>
          <v:shape id="_x0000_s1061" type="#_x0000_t32" style="position:absolute;left:0;text-align:left;margin-left:789.95pt;margin-top:121.4pt;width:95.2pt;height:.05pt;flip:y;z-index:251662848;mso-position-horizontal-relative:text;mso-position-vertical-relative:text" o:connectortype="straight"/>
        </w:pict>
      </w:r>
      <w:r w:rsidRPr="004B199A">
        <w:rPr>
          <w:noProof/>
        </w:rPr>
        <w:pict>
          <v:shape id="_x0000_s1033" type="#_x0000_t32" style="position:absolute;left:0;text-align:left;margin-left:839pt;margin-top:121.4pt;width:0;height:6pt;z-index:251667968" o:connectortype="straight"/>
        </w:pict>
      </w:r>
      <w:r w:rsidRPr="004B199A">
        <w:rPr>
          <w:noProof/>
        </w:rPr>
        <w:pict>
          <v:rect id="_x0000_s1032" style="position:absolute;left:0;text-align:left;margin-left:805pt;margin-top:127.4pt;width:73pt;height:44pt;z-index:251668992" fillcolor="#ff9" strokecolor="#92d050" strokeweight="2.25pt">
            <v:textbox style="mso-next-textbox:#_x0000_s1032">
              <w:txbxContent>
                <w:p w:rsidR="004B79D8" w:rsidRDefault="004B79D8" w:rsidP="00A9596F">
                  <w:pPr>
                    <w:jc w:val="center"/>
                  </w:pPr>
                  <w:r>
                    <w:t>K-12 Schools</w:t>
                  </w:r>
                </w:p>
              </w:txbxContent>
            </v:textbox>
          </v:rect>
        </w:pict>
      </w:r>
      <w:r w:rsidRPr="004B199A">
        <w:rPr>
          <w:noProof/>
        </w:rPr>
        <w:pict>
          <v:shape id="_x0000_s1028" type="#_x0000_t32" style="position:absolute;left:0;text-align:left;margin-left:687pt;margin-top:152.7pt;width:116pt;height:.05pt;z-index:251680256" o:connectortype="straight"/>
        </w:pict>
      </w:r>
      <w:r w:rsidRPr="004B199A">
        <w:rPr>
          <w:noProof/>
        </w:rPr>
        <w:pict>
          <v:oval id="_x0000_s1120" style="position:absolute;left:0;text-align:left;margin-left:541.25pt;margin-top:118.85pt;width:103pt;height:63.25pt;z-index:251704832" strokecolor="#92d050" strokeweight="2.25pt">
            <v:textbox>
              <w:txbxContent>
                <w:p w:rsidR="004B79D8" w:rsidRDefault="004B79D8" w:rsidP="004B79D8">
                  <w:pPr>
                    <w:jc w:val="center"/>
                  </w:pPr>
                  <w:r>
                    <w:t>MN Financial Fitness Conference</w:t>
                  </w:r>
                </w:p>
                <w:p w:rsidR="004B79D8" w:rsidRDefault="004B79D8"/>
              </w:txbxContent>
            </v:textbox>
          </v:oval>
        </w:pict>
      </w:r>
      <w:r w:rsidRPr="004B199A">
        <w:rPr>
          <w:noProof/>
        </w:rPr>
        <w:pict>
          <v:shape id="_x0000_s1114" type="#_x0000_t32" style="position:absolute;left:0;text-align:left;margin-left:277.25pt;margin-top:81.55pt;width:0;height:25.3pt;z-index:251703808" o:connectortype="straight"/>
        </w:pict>
      </w:r>
      <w:r w:rsidRPr="004B199A">
        <w:rPr>
          <w:noProof/>
        </w:rPr>
        <w:pict>
          <v:shape id="_x0000_s1083" type="#_x0000_t32" style="position:absolute;left:0;text-align:left;margin-left:112.3pt;margin-top:82.9pt;width:26.95pt;height:88.65pt;flip:x;z-index:251694592" o:connectortype="straight"/>
        </w:pict>
      </w:r>
      <w:r w:rsidRPr="004B199A">
        <w:rPr>
          <w:noProof/>
        </w:rPr>
        <w:pict>
          <v:rect id="_x0000_s1040" style="position:absolute;left:0;text-align:left;margin-left:161.25pt;margin-top:112.9pt;width:71pt;height:52.7pt;z-index:251643392" strokecolor="#92d050" strokeweight="2.25pt">
            <v:textbox style="mso-next-textbox:#_x0000_s1040">
              <w:txbxContent>
                <w:p w:rsidR="004B79D8" w:rsidRDefault="004B79D8" w:rsidP="00135924">
                  <w:pPr>
                    <w:jc w:val="center"/>
                  </w:pPr>
                  <w:r>
                    <w:t>Train the Trainer Workshops</w:t>
                  </w:r>
                </w:p>
              </w:txbxContent>
            </v:textbox>
          </v:rect>
        </w:pict>
      </w:r>
      <w:r w:rsidRPr="004B199A">
        <w:rPr>
          <w:noProof/>
        </w:rPr>
        <w:pict>
          <v:shape id="_x0000_s1112" type="#_x0000_t32" style="position:absolute;left:0;text-align:left;margin-left:208.25pt;margin-top:165.6pt;width:0;height:30pt;z-index:251701760" o:connectortype="straight"/>
        </w:pict>
      </w:r>
      <w:r w:rsidRPr="004B199A">
        <w:rPr>
          <w:noProof/>
        </w:rPr>
        <w:pict>
          <v:shape id="_x0000_s1111" type="#_x0000_t32" style="position:absolute;left:0;text-align:left;margin-left:225.75pt;margin-top:80.55pt;width:0;height:32.35pt;z-index:251700736" o:connectortype="straight"/>
        </w:pict>
      </w:r>
      <w:r w:rsidRPr="004B199A">
        <w:rPr>
          <w:noProof/>
        </w:rPr>
        <w:pict>
          <v:shape id="_x0000_s1056" type="#_x0000_t32" style="position:absolute;left:0;text-align:left;margin-left:189.75pt;margin-top:82.9pt;width:0;height:30pt;z-index:251642368;mso-position-horizontal-relative:text;mso-position-vertical-relative:text" o:connectortype="straight"/>
        </w:pict>
      </w:r>
      <w:r w:rsidRPr="004B199A">
        <w:rPr>
          <w:noProof/>
        </w:rPr>
        <w:pict>
          <v:shape id="_x0000_s1110" type="#_x0000_t32" style="position:absolute;left:0;text-align:left;margin-left:314.25pt;margin-top:22.85pt;width:0;height:8.05pt;z-index:251699712" o:connectortype="straight"/>
        </w:pict>
      </w:r>
      <w:r w:rsidRPr="004B199A">
        <w:rPr>
          <w:noProof/>
        </w:rPr>
        <w:pict>
          <v:shape id="_x0000_s1109" type="#_x0000_t32" style="position:absolute;left:0;text-align:left;margin-left:121pt;margin-top:22.85pt;width:193.25pt;height:0;z-index:251698688" o:connectortype="straight"/>
        </w:pict>
      </w:r>
      <w:r w:rsidRPr="004B199A">
        <w:rPr>
          <w:noProof/>
        </w:rPr>
        <w:pict>
          <v:rect id="_x0000_s1063" style="position:absolute;left:0;text-align:left;margin-left:275.8pt;margin-top:106.85pt;width:89.2pt;height:67pt;z-index:251649536;mso-position-horizontal-relative:text;mso-position-vertical-relative:text" strokecolor="#92d050" strokeweight="2.25pt">
            <v:textbox style="mso-next-textbox:#_x0000_s1063">
              <w:txbxContent>
                <w:p w:rsidR="004B79D8" w:rsidRDefault="004B79D8" w:rsidP="0060159C">
                  <w:pPr>
                    <w:jc w:val="center"/>
                  </w:pPr>
                  <w:r>
                    <w:t>U of M Financial Coaching Training and Certification Program</w:t>
                  </w:r>
                </w:p>
              </w:txbxContent>
            </v:textbox>
          </v:rect>
        </w:pict>
      </w:r>
      <w:r w:rsidRPr="004B199A">
        <w:rPr>
          <w:noProof/>
        </w:rPr>
        <w:pict>
          <v:shape id="_x0000_s1108" type="#_x0000_t32" style="position:absolute;left:0;text-align:left;margin-left:318.7pt;margin-top:76.85pt;width:0;height:28.7pt;z-index:251697664" o:connectortype="straight"/>
        </w:pict>
      </w:r>
      <w:r w:rsidRPr="004B199A">
        <w:rPr>
          <w:noProof/>
        </w:rPr>
        <w:pict>
          <v:rect id="_x0000_s1059" style="position:absolute;left:0;text-align:left;margin-left:289.85pt;margin-top:30.85pt;width:67pt;height:46pt;z-index:251645440;mso-position-horizontal-relative:text;mso-position-vertical-relative:text" strokecolor="#92d050" strokeweight="2.25pt">
            <v:textbox style="mso-next-textbox:#_x0000_s1059">
              <w:txbxContent>
                <w:p w:rsidR="004B79D8" w:rsidRDefault="004B79D8" w:rsidP="0060159C">
                  <w:pPr>
                    <w:jc w:val="center"/>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Minnesota</w:t>
                      </w:r>
                    </w:smartTag>
                  </w:smartTag>
                </w:p>
              </w:txbxContent>
            </v:textbox>
          </v:rect>
        </w:pict>
      </w:r>
      <w:r w:rsidRPr="004B199A">
        <w:rPr>
          <w:noProof/>
        </w:rPr>
        <w:pict>
          <v:shape id="_x0000_s1031" type="#_x0000_t32" style="position:absolute;left:0;text-align:left;margin-left:277.25pt;margin-top:61.4pt;width:9.75pt;height:.05pt;z-index:251646464" o:connectortype="straight"/>
        </w:pict>
      </w:r>
      <w:r w:rsidRPr="004B199A">
        <w:rPr>
          <w:noProof/>
        </w:rPr>
        <w:pict>
          <v:rect id="_x0000_s1060" style="position:absolute;left:0;text-align:left;margin-left:3in;margin-top:34.55pt;width:61.25pt;height:46pt;z-index:251644416;mso-position-horizontal-relative:text;mso-position-vertical-relative:text" strokecolor="#92d050" strokeweight="2.25pt">
            <v:textbox style="mso-next-textbox:#_x0000_s1060">
              <w:txbxContent>
                <w:p w:rsidR="004B79D8" w:rsidRDefault="004B79D8" w:rsidP="0060159C">
                  <w:pPr>
                    <w:jc w:val="center"/>
                  </w:pPr>
                  <w:r>
                    <w:t>U of M Extension</w:t>
                  </w:r>
                </w:p>
              </w:txbxContent>
            </v:textbox>
          </v:rect>
        </w:pict>
      </w:r>
      <w:r w:rsidRPr="004B199A">
        <w:rPr>
          <w:noProof/>
        </w:rPr>
        <w:pict>
          <v:rect id="_x0000_s1078" style="position:absolute;left:0;text-align:left;margin-left:-45pt;margin-top:28.6pt;width:80pt;height:46pt;z-index:251629056" strokecolor="#92d050" strokeweight="2.25pt">
            <v:textbox style="mso-next-textbox:#_x0000_s1078">
              <w:txbxContent>
                <w:p w:rsidR="004B79D8" w:rsidRDefault="004B79D8" w:rsidP="00A815EA">
                  <w:pPr>
                    <w:jc w:val="center"/>
                  </w:pPr>
                  <w:r>
                    <w:t xml:space="preserve">Office of Economic </w:t>
                  </w:r>
                  <w:smartTag w:uri="urn:schemas-microsoft-com:office:smarttags" w:element="place">
                    <w:r>
                      <w:t>Opportunity</w:t>
                    </w:r>
                  </w:smartTag>
                </w:p>
              </w:txbxContent>
            </v:textbox>
          </v:rect>
        </w:pict>
      </w:r>
      <w:r w:rsidRPr="004B199A">
        <w:rPr>
          <w:noProof/>
        </w:rPr>
        <w:pict>
          <v:shape id="_x0000_s1079" type="#_x0000_t32" style="position:absolute;left:0;text-align:left;margin-left:35pt;margin-top:50.55pt;width:9.5pt;height:0;z-index:251641344" o:connectortype="straight"/>
        </w:pict>
      </w:r>
      <w:r w:rsidRPr="004B199A">
        <w:rPr>
          <w:noProof/>
        </w:rPr>
        <w:pict>
          <v:rect id="_x0000_s1080" style="position:absolute;left:0;text-align:left;margin-left:-12pt;margin-top:105.55pt;width:81pt;height:55pt;z-index:251636224" strokecolor="#92d050" strokeweight="2.25pt">
            <v:textbox style="mso-next-textbox:#_x0000_s1080">
              <w:txbxContent>
                <w:p w:rsidR="004B79D8" w:rsidRDefault="004B79D8" w:rsidP="0060159C">
                  <w:pPr>
                    <w:jc w:val="center"/>
                  </w:pPr>
                  <w:r>
                    <w:t>Family Assets for Indepen-dence in MN</w:t>
                  </w:r>
                </w:p>
              </w:txbxContent>
            </v:textbox>
          </v:rect>
        </w:pict>
      </w:r>
      <w:r w:rsidRPr="004B199A">
        <w:rPr>
          <w:noProof/>
        </w:rPr>
        <w:pict>
          <v:rect id="_x0000_s1082" style="position:absolute;left:0;text-align:left;margin-left:394.85pt;margin-top:115.6pt;width:71.1pt;height:55.95pt;z-index:251671040" strokecolor="#92d050" strokeweight="2.25pt">
            <v:textbox style="mso-next-textbox:#_x0000_s1082">
              <w:txbxContent>
                <w:p w:rsidR="004B79D8" w:rsidRDefault="004B79D8" w:rsidP="00C30D3A">
                  <w:pPr>
                    <w:jc w:val="center"/>
                  </w:pPr>
                  <w:r>
                    <w:t>Financial Education in the Workplace</w:t>
                  </w:r>
                </w:p>
              </w:txbxContent>
            </v:textbox>
          </v:rect>
        </w:pict>
      </w:r>
      <w:r w:rsidRPr="004B199A">
        <w:rPr>
          <w:noProof/>
        </w:rPr>
        <w:pict>
          <v:rect id="_x0000_s1093" style="position:absolute;left:0;text-align:left;margin-left:507.6pt;margin-top:28.6pt;width:75.4pt;height:45.95pt;z-index:251657728" strokecolor="#92d050" strokeweight="2.25pt">
            <v:stroke dashstyle="dash"/>
            <v:textbox style="mso-next-textbox:#_x0000_s1093">
              <w:txbxContent>
                <w:p w:rsidR="004B79D8" w:rsidRDefault="004B79D8" w:rsidP="00FC7227">
                  <w:pPr>
                    <w:jc w:val="center"/>
                  </w:pPr>
                  <w:r>
                    <w:t>Ladders Out of Poverty Task Force</w:t>
                  </w:r>
                </w:p>
              </w:txbxContent>
            </v:textbox>
          </v:rect>
        </w:pict>
      </w:r>
      <w:r w:rsidRPr="004B199A">
        <w:rPr>
          <w:noProof/>
        </w:rPr>
        <w:pict>
          <v:shape id="_x0000_s1094" type="#_x0000_t32" style="position:absolute;left:0;text-align:left;margin-left:480pt;margin-top:100.6pt;width:.05pt;height:160.8pt;z-index:251689472" o:connectortype="straight"/>
        </w:pict>
      </w:r>
      <w:r w:rsidRPr="004B199A">
        <w:rPr>
          <w:noProof/>
        </w:rPr>
        <w:pict>
          <v:shape id="_x0000_s1095" type="#_x0000_t32" style="position:absolute;left:0;text-align:left;margin-left:451.05pt;margin-top:100.6pt;width:0;height:16pt;z-index:251672064" o:connectortype="straight"/>
        </w:pict>
      </w:r>
      <w:r w:rsidRPr="004B199A">
        <w:rPr>
          <w:noProof/>
        </w:rPr>
        <w:pict>
          <v:rect id="_x0000_s1096" style="position:absolute;left:0;text-align:left;margin-left:431.35pt;margin-top:28.6pt;width:67.35pt;height:1in;z-index:251670016" strokecolor="#92d050" strokeweight="2.25pt">
            <v:textbox style="mso-next-textbox:#_x0000_s1096">
              <w:txbxContent>
                <w:p w:rsidR="004B79D8" w:rsidRDefault="004B79D8" w:rsidP="00A9596F">
                  <w:pPr>
                    <w:jc w:val="center"/>
                  </w:pPr>
                  <w:r>
                    <w:t>MN FPA and Private Sector Compa-nies</w:t>
                  </w:r>
                </w:p>
              </w:txbxContent>
            </v:textbox>
          </v:rect>
        </w:pict>
      </w:r>
      <w:r w:rsidR="00EE6505">
        <w:rPr>
          <w:b/>
          <w:sz w:val="28"/>
          <w:szCs w:val="28"/>
        </w:rPr>
        <w:t xml:space="preserve">      </w:t>
      </w:r>
      <w:r w:rsidR="004E5E81">
        <w:rPr>
          <w:b/>
          <w:noProof/>
          <w:sz w:val="28"/>
          <w:szCs w:val="28"/>
        </w:rPr>
        <w:drawing>
          <wp:inline distT="0" distB="0" distL="0" distR="0">
            <wp:extent cx="201992" cy="2124075"/>
            <wp:effectExtent l="6096" t="0" r="1462" b="0"/>
            <wp:docPr id="3" name="Object 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0025" cy="3590925"/>
                      <a:chOff x="0" y="0"/>
                      <a:chExt cx="200025" cy="3590925"/>
                    </a:xfrm>
                  </a:grpSpPr>
                  <a:sp>
                    <a:nvSpPr>
                      <a:cNvPr id="2050" name="TEMPLATE_LANE2"/>
                      <a:cNvSpPr>
                        <a:spLocks noChangeArrowheads="1"/>
                      </a:cNvSpPr>
                    </a:nvSpPr>
                    <a:spPr bwMode="auto">
                      <a:xfrm>
                        <a:off x="0" y="0"/>
                        <a:ext cx="200025" cy="3590925"/>
                      </a:xfrm>
                      <a:prstGeom prst="flowChartProcess">
                        <a:avLst/>
                      </a:prstGeom>
                      <a:solidFill>
                        <a:srgbClr val="CCFF99"/>
                      </a:solidFill>
                      <a:ln w="9525" algn="ctr">
                        <a:solidFill>
                          <a:srgbClr val="000000"/>
                        </a:solidFill>
                        <a:miter lim="800000"/>
                        <a:headEnd/>
                        <a:tailEnd/>
                      </a:ln>
                      <a:effectLst/>
                    </a:spPr>
                    <a:txSp>
                      <a:txBody>
                        <a:bodyPr vertOverflow="clip" vert="vert270"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en-US" sz="1000" b="1" i="0" u="none" strike="noStrike" baseline="0">
                              <a:solidFill>
                                <a:srgbClr val="000000"/>
                              </a:solidFill>
                              <a:latin typeface="Arial"/>
                              <a:cs typeface="Arial"/>
                            </a:rPr>
                            <a:t>State</a:t>
                          </a:r>
                        </a:p>
                      </a:txBody>
                      <a:useSpRect/>
                    </a:txSp>
                  </a:sp>
                </lc:lockedCanvas>
              </a:graphicData>
            </a:graphic>
          </wp:inline>
        </w:drawing>
      </w:r>
      <w:r w:rsidR="00EE6505">
        <w:rPr>
          <w:b/>
          <w:sz w:val="28"/>
          <w:szCs w:val="28"/>
        </w:rPr>
        <w:t xml:space="preserve">                                                                                                                                         </w:t>
      </w:r>
    </w:p>
    <w:p w:rsidR="00EE6505" w:rsidRDefault="004B199A" w:rsidP="00A31C0D">
      <w:pPr>
        <w:ind w:left="-1440" w:right="-1440" w:firstLine="180"/>
        <w:rPr>
          <w:b/>
          <w:sz w:val="28"/>
          <w:szCs w:val="28"/>
        </w:rPr>
      </w:pPr>
      <w:r w:rsidRPr="004B199A">
        <w:rPr>
          <w:noProof/>
        </w:rPr>
        <w:pict>
          <v:shape id="_x0000_s1113" type="#_x0000_t32" style="position:absolute;left:0;text-align:left;margin-left:121pt;margin-top:41.8pt;width:13pt;height:.75pt;flip:y;z-index:251702784" o:connectortype="straight"/>
        </w:pict>
      </w:r>
      <w:r w:rsidRPr="004B199A">
        <w:rPr>
          <w:noProof/>
        </w:rPr>
        <w:pict>
          <v:rect id="_x0000_s1098" style="position:absolute;left:0;text-align:left;margin-left:171pt;margin-top:85.25pt;width:100pt;height:44.15pt;z-index:251677184" strokecolor="#e36c0a" strokeweight="2.25pt">
            <v:textbox style="mso-next-textbox:#_x0000_s1098">
              <w:txbxContent>
                <w:p w:rsidR="004B79D8" w:rsidRDefault="004B79D8" w:rsidP="00C30D3A">
                  <w:pPr>
                    <w:jc w:val="center"/>
                  </w:pPr>
                  <w:r>
                    <w:t>Non Profit</w:t>
                  </w:r>
                </w:p>
                <w:p w:rsidR="004B79D8" w:rsidRDefault="004B79D8" w:rsidP="00C30D3A">
                  <w:pPr>
                    <w:jc w:val="center"/>
                  </w:pPr>
                  <w:r>
                    <w:t>Human Service Providers</w:t>
                  </w:r>
                </w:p>
              </w:txbxContent>
            </v:textbox>
          </v:rect>
        </w:pict>
      </w:r>
      <w:r w:rsidRPr="004B199A">
        <w:rPr>
          <w:noProof/>
        </w:rPr>
        <w:pict>
          <v:rect id="_x0000_s1099" style="position:absolute;left:0;text-align:left;margin-left:18pt;margin-top:85.25pt;width:82pt;height:38pt;z-index:251654656" strokecolor="#e36c0a" strokeweight="2.25pt">
            <v:textbox style="mso-next-textbox:#_x0000_s1099">
              <w:txbxContent>
                <w:p w:rsidR="004B79D8" w:rsidRDefault="004B79D8" w:rsidP="002E1C10">
                  <w:pPr>
                    <w:jc w:val="center"/>
                  </w:pPr>
                  <w:r>
                    <w:t>FamilyMeans</w:t>
                  </w:r>
                </w:p>
              </w:txbxContent>
            </v:textbox>
          </v:rect>
        </w:pict>
      </w:r>
      <w:r w:rsidRPr="004B199A">
        <w:rPr>
          <w:noProof/>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100" type="#_x0000_t80" style="position:absolute;left:0;text-align:left;margin-left:134pt;margin-top:28.45pt;width:297.35pt;height:47.8pt;z-index:251676160" fillcolor="#0070c0" strokecolor="#0070c0">
            <v:fill color2="fill lighten(86)" rotate="t" method="linear sigma" type="gradient"/>
            <v:textbox style="mso-next-textbox:#_x0000_s1100">
              <w:txbxContent>
                <w:p w:rsidR="004B79D8" w:rsidRPr="007449DB" w:rsidRDefault="004B79D8" w:rsidP="00C30D3A">
                  <w:pPr>
                    <w:jc w:val="center"/>
                    <w:rPr>
                      <w:b/>
                      <w:sz w:val="22"/>
                      <w:szCs w:val="22"/>
                    </w:rPr>
                  </w:pPr>
                  <w:r w:rsidRPr="007449DB">
                    <w:rPr>
                      <w:b/>
                      <w:sz w:val="22"/>
                      <w:szCs w:val="22"/>
                    </w:rPr>
                    <w:t>Integration of Financial Education in to Non Profit Human Services</w:t>
                  </w:r>
                </w:p>
              </w:txbxContent>
            </v:textbox>
          </v:shape>
        </w:pict>
      </w:r>
      <w:r w:rsidRPr="004B199A">
        <w:rPr>
          <w:noProof/>
        </w:rPr>
        <w:pict>
          <v:rect id="_x0000_s1101" style="position:absolute;left:0;text-align:left;margin-left:59pt;margin-top:4.25pt;width:62pt;height:51.05pt;z-index:251640320" strokecolor="#e36c0a" strokeweight="2.25pt">
            <v:textbox style="mso-next-textbox:#_x0000_s1101">
              <w:txbxContent>
                <w:p w:rsidR="004B79D8" w:rsidRDefault="004B79D8" w:rsidP="00135924">
                  <w:pPr>
                    <w:jc w:val="center"/>
                  </w:pPr>
                  <w:r>
                    <w:t>Eastside Financial Center</w:t>
                  </w:r>
                </w:p>
              </w:txbxContent>
            </v:textbox>
          </v:rect>
        </w:pict>
      </w:r>
      <w:r w:rsidR="004E5E81">
        <w:rPr>
          <w:b/>
          <w:noProof/>
          <w:sz w:val="28"/>
          <w:szCs w:val="28"/>
        </w:rPr>
        <w:drawing>
          <wp:inline distT="0" distB="0" distL="0" distR="0">
            <wp:extent cx="193929" cy="1628775"/>
            <wp:effectExtent l="6096" t="0" r="0" b="0"/>
            <wp:docPr id="4" name="Object 8"/>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0500" cy="2419350"/>
                      <a:chOff x="0" y="0"/>
                      <a:chExt cx="190500" cy="2419350"/>
                    </a:xfrm>
                  </a:grpSpPr>
                  <a:sp>
                    <a:nvSpPr>
                      <a:cNvPr id="2058" name="TEMPLATE_LANE3"/>
                      <a:cNvSpPr>
                        <a:spLocks noChangeArrowheads="1"/>
                      </a:cNvSpPr>
                    </a:nvSpPr>
                    <a:spPr bwMode="auto">
                      <a:xfrm>
                        <a:off x="0" y="0"/>
                        <a:ext cx="190500" cy="2419350"/>
                      </a:xfrm>
                      <a:prstGeom prst="flowChartProcess">
                        <a:avLst/>
                      </a:prstGeom>
                      <a:solidFill>
                        <a:srgbClr val="FF9933">
                          <a:alpha val="75000"/>
                        </a:srgbClr>
                      </a:solidFill>
                      <a:ln w="9525" algn="ctr">
                        <a:solidFill>
                          <a:srgbClr val="000000"/>
                        </a:solidFill>
                        <a:miter lim="800000"/>
                        <a:headEnd/>
                        <a:tailEnd/>
                      </a:ln>
                      <a:effectLst/>
                    </a:spPr>
                    <a:txSp>
                      <a:txBody>
                        <a:bodyPr vertOverflow="clip" vert="vert270"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en-US" sz="1000" b="1" i="0" u="none" strike="noStrike" baseline="0">
                              <a:solidFill>
                                <a:srgbClr val="000000"/>
                              </a:solidFill>
                              <a:latin typeface="Arial"/>
                              <a:cs typeface="Arial"/>
                            </a:rPr>
                            <a:t>Regional &amp; Local</a:t>
                          </a:r>
                        </a:p>
                      </a:txBody>
                      <a:useSpRect/>
                    </a:txSp>
                  </a:sp>
                </lc:lockedCanvas>
              </a:graphicData>
            </a:graphic>
          </wp:inline>
        </w:drawing>
      </w:r>
    </w:p>
    <w:p w:rsidR="00EE6505" w:rsidRDefault="00EE6505" w:rsidP="004201BB">
      <w:pPr>
        <w:ind w:left="-1440" w:right="-1440"/>
        <w:rPr>
          <w:b/>
          <w:sz w:val="28"/>
          <w:szCs w:val="28"/>
        </w:rPr>
      </w:pPr>
    </w:p>
    <w:p w:rsidR="00EE6505" w:rsidRPr="00363C6C" w:rsidRDefault="00EE6505" w:rsidP="00A435A1">
      <w:pPr>
        <w:jc w:val="center"/>
        <w:rPr>
          <w:b/>
          <w:sz w:val="32"/>
          <w:szCs w:val="32"/>
        </w:rPr>
      </w:pPr>
      <w:r w:rsidRPr="00363C6C">
        <w:rPr>
          <w:b/>
          <w:sz w:val="32"/>
          <w:szCs w:val="32"/>
        </w:rPr>
        <w:lastRenderedPageBreak/>
        <w:t xml:space="preserve">Glossary of Financial Education Partners </w:t>
      </w:r>
    </w:p>
    <w:p w:rsidR="00EE6505" w:rsidRDefault="00EE6505" w:rsidP="00EE1A07">
      <w:pPr>
        <w:rPr>
          <w:sz w:val="28"/>
          <w:szCs w:val="28"/>
        </w:rPr>
      </w:pPr>
    </w:p>
    <w:p w:rsidR="00EE6505" w:rsidRPr="00300BBE" w:rsidRDefault="00EE6505" w:rsidP="00363C6C">
      <w:pPr>
        <w:rPr>
          <w:b/>
          <w:color w:val="000080"/>
          <w:sz w:val="28"/>
          <w:szCs w:val="28"/>
          <w:u w:val="single"/>
        </w:rPr>
      </w:pPr>
      <w:r w:rsidRPr="00300BBE">
        <w:rPr>
          <w:b/>
          <w:color w:val="000080"/>
          <w:sz w:val="28"/>
          <w:szCs w:val="28"/>
          <w:u w:val="single"/>
        </w:rPr>
        <w:t>Federal</w:t>
      </w:r>
    </w:p>
    <w:p w:rsidR="00EE6505" w:rsidRPr="004F1C30" w:rsidRDefault="00EE6505" w:rsidP="00363C6C">
      <w:pPr>
        <w:rPr>
          <w:b/>
          <w:i/>
          <w:sz w:val="28"/>
          <w:szCs w:val="24"/>
        </w:rPr>
      </w:pPr>
    </w:p>
    <w:p w:rsidR="00EE6505" w:rsidRPr="005E7AF2" w:rsidRDefault="00EE6505" w:rsidP="00363C6C">
      <w:pPr>
        <w:rPr>
          <w:b/>
          <w:i/>
          <w:sz w:val="24"/>
          <w:szCs w:val="24"/>
        </w:rPr>
      </w:pPr>
      <w:r w:rsidRPr="005E7AF2">
        <w:rPr>
          <w:b/>
          <w:i/>
          <w:sz w:val="24"/>
          <w:szCs w:val="24"/>
        </w:rPr>
        <w:t>Anne E Casey Foundation:</w:t>
      </w:r>
    </w:p>
    <w:p w:rsidR="00EE6505" w:rsidRDefault="00EE6505" w:rsidP="00363C6C">
      <w:pPr>
        <w:pStyle w:val="NormalWeb"/>
        <w:spacing w:before="0" w:beforeAutospacing="0" w:after="0" w:afterAutospacing="0"/>
        <w:rPr>
          <w:rFonts w:ascii="Arial" w:hAnsi="Arial" w:cs="Arial"/>
          <w:sz w:val="20"/>
          <w:szCs w:val="15"/>
        </w:rPr>
      </w:pPr>
      <w:r w:rsidRPr="005E7AF2">
        <w:rPr>
          <w:rFonts w:ascii="Arial" w:hAnsi="Arial" w:cs="Arial"/>
          <w:sz w:val="20"/>
          <w:szCs w:val="22"/>
          <w:u w:val="single"/>
        </w:rPr>
        <w:t>Family Economic Success</w:t>
      </w:r>
      <w:r>
        <w:rPr>
          <w:rFonts w:ascii="Arial" w:hAnsi="Arial" w:cs="Arial"/>
          <w:sz w:val="20"/>
          <w:szCs w:val="22"/>
        </w:rPr>
        <w:t xml:space="preserve"> is o</w:t>
      </w:r>
      <w:r w:rsidRPr="005E7AF2">
        <w:rPr>
          <w:rFonts w:ascii="Arial" w:hAnsi="Arial" w:cs="Arial"/>
          <w:sz w:val="20"/>
          <w:szCs w:val="22"/>
        </w:rPr>
        <w:t>ne of the foundations 7 major initiatives</w:t>
      </w:r>
      <w:r>
        <w:rPr>
          <w:rFonts w:ascii="Arial" w:hAnsi="Arial" w:cs="Arial"/>
          <w:sz w:val="20"/>
          <w:szCs w:val="22"/>
        </w:rPr>
        <w:t xml:space="preserve">, supported through </w:t>
      </w:r>
      <w:r w:rsidRPr="00315CE8">
        <w:rPr>
          <w:rFonts w:ascii="Arial" w:hAnsi="Arial" w:cs="Arial"/>
          <w:sz w:val="20"/>
          <w:szCs w:val="15"/>
        </w:rPr>
        <w:t xml:space="preserve">multi-year, multi-site </w:t>
      </w:r>
      <w:r>
        <w:rPr>
          <w:rFonts w:ascii="Arial" w:hAnsi="Arial" w:cs="Arial"/>
          <w:sz w:val="20"/>
          <w:szCs w:val="15"/>
        </w:rPr>
        <w:t xml:space="preserve">funding </w:t>
      </w:r>
      <w:r w:rsidRPr="00315CE8">
        <w:rPr>
          <w:rFonts w:ascii="Arial" w:hAnsi="Arial" w:cs="Arial"/>
          <w:sz w:val="20"/>
          <w:szCs w:val="15"/>
        </w:rPr>
        <w:t xml:space="preserve">commitments </w:t>
      </w:r>
      <w:r>
        <w:rPr>
          <w:rFonts w:ascii="Arial" w:hAnsi="Arial" w:cs="Arial"/>
          <w:sz w:val="20"/>
          <w:szCs w:val="15"/>
        </w:rPr>
        <w:t>that</w:t>
      </w:r>
      <w:r w:rsidRPr="00315CE8">
        <w:rPr>
          <w:rFonts w:ascii="Arial" w:hAnsi="Arial" w:cs="Arial"/>
          <w:sz w:val="20"/>
          <w:szCs w:val="15"/>
        </w:rPr>
        <w:t xml:space="preserve"> invest in long-term strategies and partnerships that strengthen families and communities</w:t>
      </w:r>
      <w:r>
        <w:rPr>
          <w:rFonts w:ascii="Arial" w:hAnsi="Arial" w:cs="Arial"/>
          <w:sz w:val="20"/>
          <w:szCs w:val="15"/>
        </w:rPr>
        <w:t xml:space="preserve">. The foundation supported the formation of Centers for Working Families (examples: Eastside Financial Services and </w:t>
      </w:r>
      <w:smartTag w:uri="urn:schemas-microsoft-com:office:smarttags" w:element="place">
        <w:smartTag w:uri="urn:schemas-microsoft-com:office:smarttags" w:element="PlaceName">
          <w:r>
            <w:rPr>
              <w:rFonts w:ascii="Arial" w:hAnsi="Arial" w:cs="Arial"/>
              <w:sz w:val="20"/>
              <w:szCs w:val="15"/>
            </w:rPr>
            <w:t>PPL</w:t>
          </w:r>
        </w:smartTag>
        <w:r>
          <w:rPr>
            <w:rFonts w:ascii="Arial" w:hAnsi="Arial" w:cs="Arial"/>
            <w:sz w:val="20"/>
            <w:szCs w:val="15"/>
          </w:rPr>
          <w:t xml:space="preserve"> </w:t>
        </w:r>
        <w:smartTag w:uri="urn:schemas-microsoft-com:office:smarttags" w:element="PlaceName">
          <w:r>
            <w:rPr>
              <w:rFonts w:ascii="Arial" w:hAnsi="Arial" w:cs="Arial"/>
              <w:sz w:val="20"/>
              <w:szCs w:val="15"/>
            </w:rPr>
            <w:t>Financial</w:t>
          </w:r>
        </w:smartTag>
        <w:r>
          <w:rPr>
            <w:rFonts w:ascii="Arial" w:hAnsi="Arial" w:cs="Arial"/>
            <w:sz w:val="20"/>
            <w:szCs w:val="15"/>
          </w:rPr>
          <w:t xml:space="preserve"> </w:t>
        </w:r>
        <w:smartTag w:uri="urn:schemas-microsoft-com:office:smarttags" w:element="PlaceName">
          <w:r>
            <w:rPr>
              <w:rFonts w:ascii="Arial" w:hAnsi="Arial" w:cs="Arial"/>
              <w:sz w:val="20"/>
              <w:szCs w:val="15"/>
            </w:rPr>
            <w:t>Service</w:t>
          </w:r>
        </w:smartTag>
        <w:r>
          <w:rPr>
            <w:rFonts w:ascii="Arial" w:hAnsi="Arial" w:cs="Arial"/>
            <w:sz w:val="20"/>
            <w:szCs w:val="15"/>
          </w:rPr>
          <w:t xml:space="preserve"> </w:t>
        </w:r>
        <w:smartTag w:uri="urn:schemas-microsoft-com:office:smarttags" w:element="PlaceType">
          <w:r>
            <w:rPr>
              <w:rFonts w:ascii="Arial" w:hAnsi="Arial" w:cs="Arial"/>
              <w:sz w:val="20"/>
              <w:szCs w:val="15"/>
            </w:rPr>
            <w:t>Center</w:t>
          </w:r>
        </w:smartTag>
      </w:smartTag>
      <w:r>
        <w:rPr>
          <w:rFonts w:ascii="Arial" w:hAnsi="Arial" w:cs="Arial"/>
          <w:sz w:val="20"/>
          <w:szCs w:val="15"/>
        </w:rPr>
        <w:t>)</w:t>
      </w:r>
    </w:p>
    <w:p w:rsidR="00EE6505" w:rsidRPr="005E7AF2" w:rsidRDefault="00EE6505" w:rsidP="00363C6C">
      <w:pPr>
        <w:pStyle w:val="NormalWeb"/>
        <w:spacing w:before="0" w:beforeAutospacing="0" w:after="0" w:afterAutospacing="0"/>
        <w:rPr>
          <w:rFonts w:ascii="Arial" w:hAnsi="Arial" w:cs="Arial"/>
          <w:sz w:val="20"/>
          <w:szCs w:val="22"/>
        </w:rPr>
      </w:pPr>
    </w:p>
    <w:p w:rsidR="00EE6505" w:rsidRPr="005E7AF2" w:rsidRDefault="00EE6505" w:rsidP="00363C6C">
      <w:pPr>
        <w:rPr>
          <w:szCs w:val="22"/>
        </w:rPr>
      </w:pPr>
      <w:r w:rsidRPr="005E7AF2">
        <w:rPr>
          <w:szCs w:val="22"/>
        </w:rPr>
        <w:t xml:space="preserve">“The Casey Foundation is working to help families secure adequate incomes, stabilize their finances, accumulate savings and live in vibrant, economically viable neighborhoods through an approach known as building family economic success. </w:t>
      </w:r>
    </w:p>
    <w:p w:rsidR="00EE6505" w:rsidRPr="005E7AF2" w:rsidRDefault="00EE6505" w:rsidP="00363C6C">
      <w:pPr>
        <w:rPr>
          <w:szCs w:val="22"/>
        </w:rPr>
      </w:pPr>
      <w:r w:rsidRPr="005E7AF2">
        <w:rPr>
          <w:szCs w:val="22"/>
        </w:rPr>
        <w:t xml:space="preserve">The building </w:t>
      </w:r>
      <w:r w:rsidRPr="005E7AF2">
        <w:rPr>
          <w:szCs w:val="22"/>
          <w:u w:val="single"/>
        </w:rPr>
        <w:t>Family Economic Success</w:t>
      </w:r>
      <w:r w:rsidRPr="005E7AF2">
        <w:rPr>
          <w:szCs w:val="22"/>
        </w:rPr>
        <w:t xml:space="preserve"> approach involves three key components:</w:t>
      </w:r>
    </w:p>
    <w:p w:rsidR="00EE6505" w:rsidRPr="005E7AF2" w:rsidRDefault="004B199A" w:rsidP="00363C6C">
      <w:pPr>
        <w:numPr>
          <w:ilvl w:val="0"/>
          <w:numId w:val="4"/>
        </w:numPr>
        <w:rPr>
          <w:szCs w:val="22"/>
        </w:rPr>
      </w:pPr>
      <w:hyperlink r:id="rId5" w:history="1">
        <w:r w:rsidR="00EE6505" w:rsidRPr="005E7AF2">
          <w:rPr>
            <w:szCs w:val="22"/>
          </w:rPr>
          <w:t>Asset-building</w:t>
        </w:r>
      </w:hyperlink>
      <w:r w:rsidR="00EE6505" w:rsidRPr="005E7AF2">
        <w:rPr>
          <w:szCs w:val="22"/>
        </w:rPr>
        <w:t xml:space="preserve"> - strategies to help families build wealth and save for the future. </w:t>
      </w:r>
    </w:p>
    <w:p w:rsidR="00EE6505" w:rsidRPr="005E7AF2" w:rsidRDefault="004B199A" w:rsidP="00363C6C">
      <w:pPr>
        <w:numPr>
          <w:ilvl w:val="0"/>
          <w:numId w:val="4"/>
        </w:numPr>
        <w:rPr>
          <w:szCs w:val="22"/>
        </w:rPr>
      </w:pPr>
      <w:hyperlink r:id="rId6" w:history="1">
        <w:r w:rsidR="00EE6505" w:rsidRPr="005E7AF2">
          <w:rPr>
            <w:szCs w:val="22"/>
          </w:rPr>
          <w:t>Family economic supports</w:t>
        </w:r>
      </w:hyperlink>
      <w:r w:rsidR="00EE6505" w:rsidRPr="005E7AF2">
        <w:rPr>
          <w:szCs w:val="22"/>
        </w:rPr>
        <w:t xml:space="preserve"> - public and private supports to help families establish credit, reduce debt, and increase their financial security; and </w:t>
      </w:r>
    </w:p>
    <w:p w:rsidR="00EE6505" w:rsidRPr="005E7AF2" w:rsidRDefault="004B199A" w:rsidP="00363C6C">
      <w:pPr>
        <w:numPr>
          <w:ilvl w:val="0"/>
          <w:numId w:val="4"/>
        </w:numPr>
        <w:rPr>
          <w:szCs w:val="22"/>
        </w:rPr>
      </w:pPr>
      <w:hyperlink r:id="rId7" w:history="1">
        <w:r w:rsidR="00EE6505" w:rsidRPr="005E7AF2">
          <w:rPr>
            <w:szCs w:val="22"/>
          </w:rPr>
          <w:t>Workforce development</w:t>
        </w:r>
      </w:hyperlink>
      <w:r w:rsidR="00EE6505" w:rsidRPr="005E7AF2">
        <w:rPr>
          <w:szCs w:val="22"/>
        </w:rPr>
        <w:t xml:space="preserve"> - the skills and education necessary to get good jobs and build careers.</w:t>
      </w:r>
      <w:r w:rsidR="00EE6505">
        <w:rPr>
          <w:szCs w:val="22"/>
        </w:rPr>
        <w:t>”</w:t>
      </w:r>
    </w:p>
    <w:p w:rsidR="00EE6505" w:rsidRPr="005E7AF2" w:rsidRDefault="00EE6505" w:rsidP="00363C6C">
      <w:pPr>
        <w:rPr>
          <w:szCs w:val="22"/>
        </w:rPr>
      </w:pPr>
    </w:p>
    <w:p w:rsidR="00EE6505" w:rsidRPr="005E7AF2" w:rsidRDefault="004B199A" w:rsidP="00363C6C">
      <w:pPr>
        <w:rPr>
          <w:szCs w:val="22"/>
        </w:rPr>
      </w:pPr>
      <w:hyperlink r:id="rId8" w:history="1">
        <w:r w:rsidR="00EE6505" w:rsidRPr="002E2091">
          <w:rPr>
            <w:rStyle w:val="Hyperlink"/>
            <w:rFonts w:cs="Arial"/>
            <w:szCs w:val="22"/>
          </w:rPr>
          <w:t>http://www.aecf.org/MajorInitiatives/FamilyEconomicSuccess.aspx</w:t>
        </w:r>
      </w:hyperlink>
    </w:p>
    <w:p w:rsidR="00EE6505" w:rsidRPr="004F1C30" w:rsidRDefault="00EE6505" w:rsidP="00363C6C">
      <w:pPr>
        <w:rPr>
          <w:sz w:val="28"/>
          <w:szCs w:val="28"/>
        </w:rPr>
      </w:pPr>
    </w:p>
    <w:p w:rsidR="00EE6505" w:rsidRPr="008451C7" w:rsidRDefault="00EE6505" w:rsidP="00363C6C">
      <w:pPr>
        <w:rPr>
          <w:b/>
          <w:i/>
          <w:sz w:val="24"/>
          <w:szCs w:val="28"/>
        </w:rPr>
      </w:pPr>
      <w:r w:rsidRPr="008451C7">
        <w:rPr>
          <w:b/>
          <w:i/>
          <w:sz w:val="24"/>
          <w:szCs w:val="28"/>
        </w:rPr>
        <w:t>US Department of H</w:t>
      </w:r>
      <w:r>
        <w:rPr>
          <w:b/>
          <w:i/>
          <w:sz w:val="24"/>
          <w:szCs w:val="28"/>
        </w:rPr>
        <w:t xml:space="preserve">ealth and </w:t>
      </w:r>
      <w:r w:rsidRPr="008451C7">
        <w:rPr>
          <w:b/>
          <w:i/>
          <w:sz w:val="24"/>
          <w:szCs w:val="28"/>
        </w:rPr>
        <w:t>H</w:t>
      </w:r>
      <w:r>
        <w:rPr>
          <w:b/>
          <w:i/>
          <w:sz w:val="24"/>
          <w:szCs w:val="28"/>
        </w:rPr>
        <w:t xml:space="preserve">uman Services – </w:t>
      </w:r>
      <w:r w:rsidRPr="008451C7">
        <w:rPr>
          <w:b/>
          <w:i/>
          <w:sz w:val="24"/>
          <w:szCs w:val="28"/>
        </w:rPr>
        <w:t>A</w:t>
      </w:r>
      <w:r>
        <w:rPr>
          <w:b/>
          <w:i/>
          <w:sz w:val="24"/>
          <w:szCs w:val="28"/>
        </w:rPr>
        <w:t xml:space="preserve">ssets </w:t>
      </w:r>
      <w:r w:rsidRPr="008451C7">
        <w:rPr>
          <w:b/>
          <w:i/>
          <w:sz w:val="24"/>
          <w:szCs w:val="28"/>
        </w:rPr>
        <w:t>F</w:t>
      </w:r>
      <w:r>
        <w:rPr>
          <w:b/>
          <w:i/>
          <w:sz w:val="24"/>
          <w:szCs w:val="28"/>
        </w:rPr>
        <w:t xml:space="preserve">or </w:t>
      </w:r>
      <w:smartTag w:uri="urn:schemas-microsoft-com:office:smarttags" w:element="place">
        <w:smartTag w:uri="urn:schemas-microsoft-com:office:smarttags" w:element="City">
          <w:r w:rsidRPr="008451C7">
            <w:rPr>
              <w:b/>
              <w:i/>
              <w:sz w:val="24"/>
              <w:szCs w:val="28"/>
            </w:rPr>
            <w:t>I</w:t>
          </w:r>
          <w:r>
            <w:rPr>
              <w:b/>
              <w:i/>
              <w:sz w:val="24"/>
              <w:szCs w:val="28"/>
            </w:rPr>
            <w:t>ndependence</w:t>
          </w:r>
        </w:smartTag>
      </w:smartTag>
      <w:r w:rsidRPr="008451C7">
        <w:rPr>
          <w:b/>
          <w:i/>
          <w:sz w:val="24"/>
          <w:szCs w:val="28"/>
        </w:rPr>
        <w:t>:</w:t>
      </w:r>
    </w:p>
    <w:p w:rsidR="00EE6505" w:rsidRDefault="00EE6505" w:rsidP="00363C6C">
      <w:r w:rsidRPr="008451C7">
        <w:t xml:space="preserve">The </w:t>
      </w:r>
      <w:r w:rsidRPr="007E04A7">
        <w:rPr>
          <w:u w:val="single"/>
        </w:rPr>
        <w:t>Assets for Independence (AFI)</w:t>
      </w:r>
      <w:r w:rsidRPr="008451C7">
        <w:t xml:space="preserve"> program is administered by the U.S. Department of Health and Human Services</w:t>
      </w:r>
      <w:r>
        <w:t>’</w:t>
      </w:r>
      <w:r w:rsidRPr="008451C7">
        <w:t xml:space="preserve"> Federal Office of Community Services</w:t>
      </w:r>
      <w:r>
        <w:t>.  The program</w:t>
      </w:r>
      <w:r w:rsidRPr="008451C7">
        <w:t xml:space="preserve"> </w:t>
      </w:r>
      <w:r>
        <w:t>“</w:t>
      </w:r>
      <w:r w:rsidRPr="008451C7">
        <w:t>provides five-year grants to nonprofit organizations and government agencies that empower low-income families to become economically self-sufficient for the long-term</w:t>
      </w:r>
      <w:r>
        <w:t>”</w:t>
      </w:r>
      <w:r w:rsidRPr="008451C7">
        <w:t xml:space="preserve">.  </w:t>
      </w:r>
    </w:p>
    <w:p w:rsidR="00EE6505" w:rsidRDefault="00EE6505" w:rsidP="00363C6C"/>
    <w:p w:rsidR="00EE6505" w:rsidRDefault="00EE6505" w:rsidP="00363C6C">
      <w:r w:rsidRPr="008451C7">
        <w:t>Grantees provide</w:t>
      </w:r>
      <w:r>
        <w:t>:</w:t>
      </w:r>
    </w:p>
    <w:p w:rsidR="00EE6505" w:rsidRDefault="00EE6505" w:rsidP="00363C6C">
      <w:pPr>
        <w:pStyle w:val="ListParagraph"/>
        <w:numPr>
          <w:ilvl w:val="0"/>
          <w:numId w:val="5"/>
        </w:numPr>
      </w:pPr>
      <w:r w:rsidRPr="007E04A7">
        <w:t>financial education training</w:t>
      </w:r>
      <w:r>
        <w:t xml:space="preserve">, </w:t>
      </w:r>
      <w:r w:rsidRPr="007E04A7">
        <w:t xml:space="preserve">money management </w:t>
      </w:r>
    </w:p>
    <w:p w:rsidR="00EE6505" w:rsidRDefault="00EE6505" w:rsidP="00363C6C">
      <w:pPr>
        <w:pStyle w:val="ListParagraph"/>
        <w:numPr>
          <w:ilvl w:val="0"/>
          <w:numId w:val="5"/>
        </w:numPr>
      </w:pPr>
      <w:r w:rsidRPr="007E04A7">
        <w:t xml:space="preserve">assist participants with saving earned income </w:t>
      </w:r>
      <w:r>
        <w:t>in</w:t>
      </w:r>
      <w:r w:rsidRPr="007E04A7">
        <w:t xml:space="preserve"> Individua</w:t>
      </w:r>
      <w:r>
        <w:t>l Development Accounts (IDAs)</w:t>
      </w:r>
    </w:p>
    <w:p w:rsidR="00EE6505" w:rsidRPr="008451C7" w:rsidRDefault="00EE6505" w:rsidP="00363C6C"/>
    <w:p w:rsidR="00EE6505" w:rsidRPr="008451C7" w:rsidRDefault="004B199A" w:rsidP="00363C6C">
      <w:hyperlink r:id="rId9" w:history="1">
        <w:r w:rsidR="00EE6505" w:rsidRPr="0073787D">
          <w:rPr>
            <w:rStyle w:val="Hyperlink"/>
            <w:rFonts w:cs="Arial"/>
          </w:rPr>
          <w:t>http://www.acf.hhs.gov/programs/ocs/afi/applying.html</w:t>
        </w:r>
      </w:hyperlink>
    </w:p>
    <w:p w:rsidR="00EE6505" w:rsidRDefault="00EE6505" w:rsidP="00363C6C">
      <w:pPr>
        <w:rPr>
          <w:sz w:val="28"/>
          <w:szCs w:val="28"/>
        </w:rPr>
      </w:pPr>
    </w:p>
    <w:p w:rsidR="00EE6505" w:rsidRPr="00DB76D9" w:rsidRDefault="00EE6505" w:rsidP="00363C6C">
      <w:pPr>
        <w:rPr>
          <w:b/>
          <w:i/>
          <w:sz w:val="24"/>
          <w:szCs w:val="28"/>
        </w:rPr>
      </w:pPr>
      <w:r w:rsidRPr="00DB76D9">
        <w:rPr>
          <w:b/>
          <w:i/>
          <w:sz w:val="24"/>
          <w:szCs w:val="28"/>
        </w:rPr>
        <w:t xml:space="preserve">Corporation For </w:t>
      </w:r>
      <w:smartTag w:uri="urn:schemas-microsoft-com:office:smarttags" w:element="place">
        <w:smartTag w:uri="urn:schemas-microsoft-com:office:smarttags" w:element="City">
          <w:r w:rsidRPr="00DB76D9">
            <w:rPr>
              <w:b/>
              <w:i/>
              <w:sz w:val="24"/>
              <w:szCs w:val="28"/>
            </w:rPr>
            <w:t>Enterprise</w:t>
          </w:r>
        </w:smartTag>
      </w:smartTag>
      <w:r w:rsidRPr="00DB76D9">
        <w:rPr>
          <w:b/>
          <w:i/>
          <w:sz w:val="24"/>
          <w:szCs w:val="28"/>
        </w:rPr>
        <w:t xml:space="preserve"> Development (CFED)</w:t>
      </w:r>
    </w:p>
    <w:p w:rsidR="00EE6505" w:rsidRDefault="00EE6505" w:rsidP="00363C6C">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w:t>
      </w:r>
      <w:r w:rsidRPr="00DB76D9">
        <w:rPr>
          <w:rFonts w:ascii="Arial" w:hAnsi="Arial" w:cs="Arial"/>
          <w:sz w:val="20"/>
          <w:szCs w:val="20"/>
        </w:rPr>
        <w:t xml:space="preserve">The </w:t>
      </w:r>
      <w:r w:rsidRPr="00DB76D9">
        <w:rPr>
          <w:rFonts w:ascii="Arial" w:hAnsi="Arial" w:cs="Arial"/>
          <w:sz w:val="20"/>
          <w:szCs w:val="20"/>
          <w:u w:val="single"/>
        </w:rPr>
        <w:t>Corporation for Enterprise Development</w:t>
      </w:r>
      <w:r w:rsidRPr="00DB76D9">
        <w:rPr>
          <w:rFonts w:ascii="Arial" w:hAnsi="Arial" w:cs="Arial"/>
          <w:sz w:val="20"/>
          <w:szCs w:val="20"/>
        </w:rPr>
        <w:t xml:space="preserve"> is a national nonprofit based in </w:t>
      </w:r>
      <w:smartTag w:uri="urn:schemas-microsoft-com:office:smarttags" w:element="place">
        <w:smartTag w:uri="urn:schemas-microsoft-com:office:smarttags" w:element="City">
          <w:r w:rsidRPr="00DB76D9">
            <w:rPr>
              <w:rFonts w:ascii="Arial" w:hAnsi="Arial" w:cs="Arial"/>
              <w:sz w:val="20"/>
              <w:szCs w:val="20"/>
            </w:rPr>
            <w:t>Washington</w:t>
          </w:r>
        </w:smartTag>
        <w:r w:rsidRPr="00DB76D9">
          <w:rPr>
            <w:rFonts w:ascii="Arial" w:hAnsi="Arial" w:cs="Arial"/>
            <w:sz w:val="20"/>
            <w:szCs w:val="20"/>
          </w:rPr>
          <w:t xml:space="preserve">, </w:t>
        </w:r>
        <w:smartTag w:uri="urn:schemas-microsoft-com:office:smarttags" w:element="State">
          <w:r w:rsidRPr="00DB76D9">
            <w:rPr>
              <w:rFonts w:ascii="Arial" w:hAnsi="Arial" w:cs="Arial"/>
              <w:sz w:val="20"/>
              <w:szCs w:val="20"/>
            </w:rPr>
            <w:t>DC</w:t>
          </w:r>
        </w:smartTag>
      </w:smartTag>
      <w:r w:rsidRPr="00DB76D9">
        <w:rPr>
          <w:rFonts w:ascii="Arial" w:hAnsi="Arial" w:cs="Arial"/>
          <w:sz w:val="20"/>
          <w:szCs w:val="20"/>
        </w:rPr>
        <w:t xml:space="preserve"> dedicated to expanding economic opportunity for low-income families and communities. CFED uses a “think-do-invest” approach grounded in community practice, public policy and private markets. </w:t>
      </w:r>
    </w:p>
    <w:p w:rsidR="00EE6505" w:rsidRPr="00DB76D9" w:rsidRDefault="00EE6505" w:rsidP="00363C6C">
      <w:pPr>
        <w:pStyle w:val="Heading2"/>
        <w:numPr>
          <w:ilvl w:val="0"/>
          <w:numId w:val="6"/>
        </w:numPr>
        <w:shd w:val="clear" w:color="auto" w:fill="FFFFFF"/>
        <w:spacing w:before="0" w:after="0"/>
        <w:rPr>
          <w:color w:val="auto"/>
          <w:sz w:val="20"/>
          <w:szCs w:val="20"/>
        </w:rPr>
      </w:pPr>
      <w:r w:rsidRPr="00DB76D9">
        <w:rPr>
          <w:color w:val="auto"/>
          <w:sz w:val="20"/>
          <w:szCs w:val="20"/>
        </w:rPr>
        <w:t>Think: We explore ideas and practices that help families and communities more fully participate in the mainstream economy.</w:t>
      </w:r>
    </w:p>
    <w:p w:rsidR="00EE6505" w:rsidRPr="00DB76D9" w:rsidRDefault="00EE6505" w:rsidP="00363C6C">
      <w:pPr>
        <w:pStyle w:val="Heading2"/>
        <w:numPr>
          <w:ilvl w:val="0"/>
          <w:numId w:val="6"/>
        </w:numPr>
        <w:shd w:val="clear" w:color="auto" w:fill="FFFFFF"/>
        <w:spacing w:before="0" w:after="0"/>
        <w:rPr>
          <w:color w:val="auto"/>
          <w:sz w:val="20"/>
          <w:szCs w:val="20"/>
        </w:rPr>
      </w:pPr>
      <w:r w:rsidRPr="00DB76D9">
        <w:rPr>
          <w:color w:val="auto"/>
          <w:sz w:val="20"/>
          <w:szCs w:val="20"/>
        </w:rPr>
        <w:t>Do: We gather funding partners, local practitioners and policymakers to carry out demonstration programs in communities nationwide.</w:t>
      </w:r>
    </w:p>
    <w:p w:rsidR="00EE6505" w:rsidRPr="00DB76D9" w:rsidRDefault="00EE6505" w:rsidP="00363C6C">
      <w:pPr>
        <w:pStyle w:val="Heading2"/>
        <w:numPr>
          <w:ilvl w:val="0"/>
          <w:numId w:val="6"/>
        </w:numPr>
        <w:shd w:val="clear" w:color="auto" w:fill="FFFFFF"/>
        <w:spacing w:before="0" w:after="0"/>
        <w:rPr>
          <w:color w:val="auto"/>
          <w:sz w:val="20"/>
          <w:szCs w:val="20"/>
        </w:rPr>
      </w:pPr>
      <w:r w:rsidRPr="00DB76D9">
        <w:rPr>
          <w:color w:val="auto"/>
          <w:sz w:val="20"/>
          <w:szCs w:val="20"/>
        </w:rPr>
        <w:t xml:space="preserve">Invest: We find investors and policy advocates for ideas that might bring about large scale change.  </w:t>
      </w:r>
      <w:r>
        <w:rPr>
          <w:color w:val="auto"/>
          <w:sz w:val="20"/>
          <w:szCs w:val="20"/>
        </w:rPr>
        <w:t xml:space="preserve">Microenterprise, the Development Report Card, and </w:t>
      </w:r>
      <w:r w:rsidRPr="00DB76D9">
        <w:rPr>
          <w:color w:val="auto"/>
          <w:sz w:val="20"/>
          <w:szCs w:val="20"/>
        </w:rPr>
        <w:t>I</w:t>
      </w:r>
      <w:r>
        <w:rPr>
          <w:color w:val="auto"/>
          <w:sz w:val="20"/>
          <w:szCs w:val="20"/>
        </w:rPr>
        <w:t xml:space="preserve">ndividual Development Accounts </w:t>
      </w:r>
      <w:r w:rsidRPr="00DB76D9">
        <w:rPr>
          <w:color w:val="auto"/>
          <w:sz w:val="20"/>
          <w:szCs w:val="20"/>
        </w:rPr>
        <w:t>are just a few of the social innovations CFED has been known for.</w:t>
      </w:r>
      <w:r>
        <w:rPr>
          <w:color w:val="auto"/>
          <w:sz w:val="20"/>
          <w:szCs w:val="20"/>
        </w:rPr>
        <w:t>”</w:t>
      </w:r>
    </w:p>
    <w:p w:rsidR="00EE6505" w:rsidRPr="00DB76D9" w:rsidRDefault="00EE6505" w:rsidP="00363C6C">
      <w:pPr>
        <w:pStyle w:val="NormalWeb"/>
        <w:shd w:val="clear" w:color="auto" w:fill="FFFFFF"/>
        <w:spacing w:before="0" w:beforeAutospacing="0" w:after="0" w:afterAutospacing="0"/>
        <w:rPr>
          <w:rFonts w:ascii="Arial" w:hAnsi="Arial" w:cs="Arial"/>
          <w:sz w:val="20"/>
          <w:szCs w:val="20"/>
        </w:rPr>
      </w:pPr>
    </w:p>
    <w:p w:rsidR="00EE6505" w:rsidRPr="00DB76D9" w:rsidRDefault="004B199A" w:rsidP="00363C6C">
      <w:hyperlink r:id="rId10" w:history="1">
        <w:r w:rsidR="00EE6505" w:rsidRPr="00DB76D9">
          <w:rPr>
            <w:rStyle w:val="Hyperlink"/>
            <w:rFonts w:cs="Arial"/>
          </w:rPr>
          <w:t>http://cfed.org/about/</w:t>
        </w:r>
      </w:hyperlink>
    </w:p>
    <w:p w:rsidR="00EE6505" w:rsidRDefault="00EE6505" w:rsidP="00363C6C">
      <w:pPr>
        <w:rPr>
          <w:b/>
          <w:i/>
          <w:sz w:val="28"/>
          <w:szCs w:val="28"/>
        </w:rPr>
      </w:pPr>
    </w:p>
    <w:p w:rsidR="00EE6505" w:rsidRPr="00D00231" w:rsidRDefault="00EE6505" w:rsidP="00363C6C">
      <w:pPr>
        <w:rPr>
          <w:b/>
          <w:i/>
          <w:sz w:val="24"/>
          <w:szCs w:val="28"/>
        </w:rPr>
      </w:pPr>
      <w:r w:rsidRPr="00D00231">
        <w:rPr>
          <w:b/>
          <w:i/>
          <w:sz w:val="24"/>
          <w:szCs w:val="28"/>
        </w:rPr>
        <w:t>Banks and Credit Unions</w:t>
      </w:r>
    </w:p>
    <w:p w:rsidR="00EE6505" w:rsidRDefault="00EE6505" w:rsidP="00363C6C">
      <w:r>
        <w:t>Banks and Credit Unions provide classes in a variety of settings including schools, workplace and non profits. A variety of curriculums and delivery methods are employed. Services can range in focus from basic financial education to financial planning. Some financial institutions also fund financial education.</w:t>
      </w:r>
    </w:p>
    <w:p w:rsidR="00EE6505" w:rsidRPr="00D00231" w:rsidRDefault="00EE6505" w:rsidP="00363C6C"/>
    <w:p w:rsidR="00EE6505" w:rsidRPr="00067E79" w:rsidRDefault="00EE6505" w:rsidP="00363C6C">
      <w:pPr>
        <w:rPr>
          <w:b/>
          <w:i/>
          <w:sz w:val="24"/>
          <w:szCs w:val="28"/>
        </w:rPr>
      </w:pPr>
      <w:r w:rsidRPr="00067E79">
        <w:rPr>
          <w:b/>
          <w:i/>
          <w:sz w:val="24"/>
          <w:szCs w:val="28"/>
        </w:rPr>
        <w:t>National Endowment For Education (NEFE)</w:t>
      </w:r>
    </w:p>
    <w:p w:rsidR="00EE6505" w:rsidRDefault="00EE6505" w:rsidP="00363C6C">
      <w:r w:rsidRPr="007A0FD3">
        <w:t xml:space="preserve">The </w:t>
      </w:r>
      <w:r w:rsidRPr="007A0FD3">
        <w:rPr>
          <w:u w:val="single"/>
        </w:rPr>
        <w:t>National Endowment for Financial Education (NEFE)</w:t>
      </w:r>
      <w:r w:rsidRPr="007A0FD3">
        <w:t xml:space="preserve"> is </w:t>
      </w:r>
      <w:r>
        <w:t xml:space="preserve">a </w:t>
      </w:r>
      <w:r w:rsidRPr="007A0FD3">
        <w:t>private, nonprofit, national foundation dedicated to improving the financial well-being of all Americans. </w:t>
      </w:r>
    </w:p>
    <w:p w:rsidR="00EE6505" w:rsidRPr="007A0FD3" w:rsidRDefault="00EE6505" w:rsidP="00363C6C"/>
    <w:p w:rsidR="00EE6505" w:rsidRDefault="00EE6505" w:rsidP="00363C6C">
      <w:r>
        <w:t>Its mission</w:t>
      </w:r>
      <w:r w:rsidRPr="007A0FD3">
        <w:t xml:space="preserve"> </w:t>
      </w:r>
      <w:r>
        <w:t>is to “</w:t>
      </w:r>
      <w:r w:rsidRPr="007A0FD3">
        <w:t>help individual Americans acquire the knowledge and skills necessary to take control of their financial destiny</w:t>
      </w:r>
      <w:r>
        <w:t>”</w:t>
      </w:r>
      <w:r w:rsidRPr="007A0FD3">
        <w:t xml:space="preserve">. </w:t>
      </w:r>
    </w:p>
    <w:p w:rsidR="00EE6505" w:rsidRPr="00067E79" w:rsidRDefault="00EE6505" w:rsidP="00363C6C"/>
    <w:p w:rsidR="00EE6505" w:rsidRPr="00067E79" w:rsidRDefault="00EE6505" w:rsidP="00363C6C">
      <w:pPr>
        <w:pStyle w:val="NormalWeb"/>
        <w:spacing w:before="0" w:beforeAutospacing="0" w:after="0" w:afterAutospacing="0"/>
        <w:rPr>
          <w:rFonts w:ascii="Arial" w:hAnsi="Arial" w:cs="Arial"/>
          <w:sz w:val="20"/>
          <w:szCs w:val="20"/>
        </w:rPr>
      </w:pPr>
      <w:r w:rsidRPr="00067E79">
        <w:rPr>
          <w:rFonts w:ascii="Arial" w:hAnsi="Arial" w:cs="Arial"/>
          <w:sz w:val="20"/>
          <w:szCs w:val="20"/>
        </w:rPr>
        <w:t xml:space="preserve">NEFE’s </w:t>
      </w:r>
      <w:r>
        <w:rPr>
          <w:rFonts w:ascii="Arial" w:hAnsi="Arial" w:cs="Arial"/>
          <w:sz w:val="20"/>
          <w:szCs w:val="20"/>
        </w:rPr>
        <w:t xml:space="preserve">target’s its </w:t>
      </w:r>
      <w:r w:rsidRPr="00067E79">
        <w:rPr>
          <w:rFonts w:ascii="Arial" w:hAnsi="Arial" w:cs="Arial"/>
          <w:sz w:val="20"/>
          <w:szCs w:val="20"/>
        </w:rPr>
        <w:t>activities on those who face financial challenges that are not being addressed by others</w:t>
      </w:r>
      <w:r>
        <w:rPr>
          <w:rFonts w:ascii="Arial" w:hAnsi="Arial" w:cs="Arial"/>
          <w:sz w:val="20"/>
          <w:szCs w:val="20"/>
        </w:rPr>
        <w:t>, including</w:t>
      </w:r>
      <w:r w:rsidRPr="00067E79">
        <w:rPr>
          <w:rFonts w:ascii="Arial" w:hAnsi="Arial" w:cs="Arial"/>
          <w:sz w:val="20"/>
          <w:szCs w:val="20"/>
        </w:rPr>
        <w:t>: </w:t>
      </w:r>
    </w:p>
    <w:p w:rsidR="00EE6505" w:rsidRPr="00067E79" w:rsidRDefault="00EE6505" w:rsidP="00363C6C">
      <w:pPr>
        <w:numPr>
          <w:ilvl w:val="0"/>
          <w:numId w:val="7"/>
        </w:numPr>
      </w:pPr>
      <w:r>
        <w:t>youth</w:t>
      </w:r>
    </w:p>
    <w:p w:rsidR="00EE6505" w:rsidRDefault="00EE6505" w:rsidP="00363C6C">
      <w:pPr>
        <w:numPr>
          <w:ilvl w:val="0"/>
          <w:numId w:val="7"/>
        </w:numPr>
      </w:pPr>
      <w:r>
        <w:t>l</w:t>
      </w:r>
      <w:r w:rsidRPr="00067E79">
        <w:t>ow-income individuals and families</w:t>
      </w:r>
    </w:p>
    <w:p w:rsidR="00EE6505" w:rsidRDefault="00EE6505" w:rsidP="00363C6C">
      <w:pPr>
        <w:numPr>
          <w:ilvl w:val="0"/>
          <w:numId w:val="7"/>
        </w:numPr>
      </w:pPr>
      <w:r>
        <w:t>p</w:t>
      </w:r>
      <w:r w:rsidRPr="00067E79">
        <w:t>eople in difficult</w:t>
      </w:r>
      <w:r>
        <w:t xml:space="preserve"> or unusual life circumstances</w:t>
      </w:r>
    </w:p>
    <w:p w:rsidR="00EE6505" w:rsidRPr="00067E79" w:rsidRDefault="00EE6505" w:rsidP="00363C6C">
      <w:pPr>
        <w:ind w:left="720"/>
      </w:pPr>
      <w:r w:rsidRPr="00067E79">
        <w:t xml:space="preserve"> </w:t>
      </w:r>
    </w:p>
    <w:p w:rsidR="00EE6505" w:rsidRPr="00067E79" w:rsidRDefault="00EE6505" w:rsidP="00363C6C">
      <w:pPr>
        <w:pStyle w:val="NormalWeb"/>
        <w:spacing w:before="0" w:beforeAutospacing="0" w:after="0" w:afterAutospacing="0"/>
        <w:rPr>
          <w:rFonts w:ascii="Arial" w:hAnsi="Arial" w:cs="Arial"/>
          <w:sz w:val="20"/>
          <w:szCs w:val="20"/>
        </w:rPr>
      </w:pPr>
      <w:r w:rsidRPr="00067E79">
        <w:rPr>
          <w:rFonts w:ascii="Arial" w:hAnsi="Arial" w:cs="Arial"/>
          <w:sz w:val="20"/>
          <w:szCs w:val="20"/>
        </w:rPr>
        <w:t>NEFE’s free and lo</w:t>
      </w:r>
      <w:r>
        <w:rPr>
          <w:rFonts w:ascii="Arial" w:hAnsi="Arial" w:cs="Arial"/>
          <w:sz w:val="20"/>
          <w:szCs w:val="20"/>
        </w:rPr>
        <w:t>w-cost activities and materials include</w:t>
      </w:r>
      <w:r w:rsidRPr="00067E79">
        <w:rPr>
          <w:rFonts w:ascii="Arial" w:hAnsi="Arial" w:cs="Arial"/>
          <w:sz w:val="20"/>
          <w:szCs w:val="20"/>
        </w:rPr>
        <w:t>: </w:t>
      </w:r>
    </w:p>
    <w:p w:rsidR="00EE6505" w:rsidRPr="00067E79" w:rsidRDefault="00EE6505" w:rsidP="00363C6C">
      <w:pPr>
        <w:numPr>
          <w:ilvl w:val="0"/>
          <w:numId w:val="8"/>
        </w:numPr>
      </w:pPr>
      <w:r>
        <w:t>resources for consumers</w:t>
      </w:r>
    </w:p>
    <w:p w:rsidR="00EE6505" w:rsidRPr="00067E79" w:rsidRDefault="00EE6505" w:rsidP="00363C6C">
      <w:pPr>
        <w:numPr>
          <w:ilvl w:val="0"/>
          <w:numId w:val="8"/>
        </w:numPr>
      </w:pPr>
      <w:r>
        <w:t>m</w:t>
      </w:r>
      <w:r w:rsidRPr="00067E79">
        <w:t xml:space="preserve">aterials for </w:t>
      </w:r>
      <w:r w:rsidRPr="002204CD">
        <w:t>educators and facilitators</w:t>
      </w:r>
      <w:r w:rsidRPr="00067E79">
        <w:t xml:space="preserve">  </w:t>
      </w:r>
    </w:p>
    <w:p w:rsidR="00EE6505" w:rsidRPr="00067E79" w:rsidRDefault="00EE6505" w:rsidP="00363C6C">
      <w:pPr>
        <w:numPr>
          <w:ilvl w:val="0"/>
          <w:numId w:val="8"/>
        </w:numPr>
      </w:pPr>
      <w:smartTag w:uri="urn:schemas-microsoft-com:office:smarttags" w:element="place">
        <w:smartTag w:uri="urn:schemas-microsoft-com:office:smarttags" w:element="PlaceName">
          <w:r w:rsidRPr="002204CD">
            <w:t>NEFE</w:t>
          </w:r>
        </w:smartTag>
        <w:r w:rsidRPr="002204CD">
          <w:t xml:space="preserve"> </w:t>
        </w:r>
        <w:smartTag w:uri="urn:schemas-microsoft-com:office:smarttags" w:element="PlaceType">
          <w:r w:rsidRPr="002204CD">
            <w:t>High School</w:t>
          </w:r>
        </w:smartTag>
      </w:smartTag>
      <w:r w:rsidRPr="002204CD">
        <w:t xml:space="preserve"> Financial Planning Program</w:t>
      </w:r>
      <w:r w:rsidRPr="00067E79">
        <w:t xml:space="preserve"> </w:t>
      </w:r>
    </w:p>
    <w:p w:rsidR="00EE6505" w:rsidRPr="00067E79" w:rsidRDefault="00EE6505" w:rsidP="00363C6C">
      <w:pPr>
        <w:numPr>
          <w:ilvl w:val="0"/>
          <w:numId w:val="8"/>
        </w:numPr>
      </w:pPr>
      <w:r>
        <w:t>j</w:t>
      </w:r>
      <w:r w:rsidRPr="00067E79">
        <w:t xml:space="preserve">oint efforts with numerous nonprofit, for-profit, and government entities to develop financial literacy resources for </w:t>
      </w:r>
      <w:r w:rsidRPr="002204CD">
        <w:t>specific audiences</w:t>
      </w:r>
    </w:p>
    <w:p w:rsidR="00EE6505" w:rsidRPr="00067E79" w:rsidRDefault="00EE6505" w:rsidP="00363C6C">
      <w:pPr>
        <w:numPr>
          <w:ilvl w:val="0"/>
          <w:numId w:val="8"/>
        </w:numPr>
      </w:pPr>
      <w:r>
        <w:t>research and</w:t>
      </w:r>
      <w:r w:rsidRPr="002204CD">
        <w:t xml:space="preserve"> conferences</w:t>
      </w:r>
      <w:r w:rsidRPr="00067E79">
        <w:t xml:space="preserve"> on a variety</w:t>
      </w:r>
      <w:r>
        <w:t xml:space="preserve"> of financial literacy topics</w:t>
      </w:r>
    </w:p>
    <w:p w:rsidR="00EE6505" w:rsidRPr="00067E79" w:rsidRDefault="00EE6505" w:rsidP="00363C6C">
      <w:pPr>
        <w:numPr>
          <w:ilvl w:val="0"/>
          <w:numId w:val="8"/>
        </w:numPr>
      </w:pPr>
      <w:r>
        <w:t>g</w:t>
      </w:r>
      <w:r w:rsidRPr="002204CD">
        <w:t xml:space="preserve">rant awards </w:t>
      </w:r>
      <w:r w:rsidRPr="00067E79">
        <w:t xml:space="preserve">to organizations and academic institutions whose work can contribute to </w:t>
      </w:r>
      <w:r>
        <w:t>the field of financial literacy</w:t>
      </w:r>
      <w:r w:rsidRPr="00067E79">
        <w:t xml:space="preserve">  </w:t>
      </w:r>
    </w:p>
    <w:p w:rsidR="00EE6505" w:rsidRPr="00067E79" w:rsidRDefault="00EE6505" w:rsidP="00363C6C">
      <w:pPr>
        <w:numPr>
          <w:ilvl w:val="0"/>
          <w:numId w:val="8"/>
        </w:numPr>
      </w:pPr>
      <w:r>
        <w:t>r</w:t>
      </w:r>
      <w:r w:rsidRPr="00067E79">
        <w:t xml:space="preserve">esources for the </w:t>
      </w:r>
      <w:r w:rsidRPr="002204CD">
        <w:t>press</w:t>
      </w:r>
    </w:p>
    <w:p w:rsidR="00EE6505" w:rsidRDefault="00EE6505" w:rsidP="00363C6C">
      <w:pPr>
        <w:pStyle w:val="NormalWeb"/>
        <w:spacing w:before="0" w:beforeAutospacing="0" w:after="0" w:afterAutospacing="0"/>
        <w:rPr>
          <w:rFonts w:ascii="Arial" w:hAnsi="Arial" w:cs="Arial"/>
          <w:sz w:val="20"/>
          <w:szCs w:val="20"/>
        </w:rPr>
      </w:pPr>
    </w:p>
    <w:p w:rsidR="00EE6505" w:rsidRPr="00067E79" w:rsidRDefault="00EE6505" w:rsidP="00363C6C">
      <w:pPr>
        <w:pStyle w:val="NormalWeb"/>
        <w:spacing w:before="0" w:beforeAutospacing="0" w:after="0" w:afterAutospacing="0"/>
        <w:rPr>
          <w:rFonts w:ascii="Arial" w:hAnsi="Arial" w:cs="Arial"/>
          <w:sz w:val="20"/>
          <w:szCs w:val="20"/>
        </w:rPr>
      </w:pPr>
      <w:r w:rsidRPr="00067E79">
        <w:rPr>
          <w:rFonts w:ascii="Arial" w:hAnsi="Arial" w:cs="Arial"/>
          <w:sz w:val="20"/>
          <w:szCs w:val="20"/>
        </w:rPr>
        <w:t>NEFE defines its action areas as:</w:t>
      </w:r>
    </w:p>
    <w:p w:rsidR="00EE6505" w:rsidRPr="00DC3535" w:rsidRDefault="00EE6505" w:rsidP="00363C6C">
      <w:pPr>
        <w:numPr>
          <w:ilvl w:val="0"/>
          <w:numId w:val="9"/>
        </w:numPr>
        <w:rPr>
          <w:b/>
        </w:rPr>
      </w:pPr>
      <w:r w:rsidRPr="00DC3535">
        <w:rPr>
          <w:rStyle w:val="Strong"/>
          <w:rFonts w:cs="Arial"/>
        </w:rPr>
        <w:t>Education Programs</w:t>
      </w:r>
      <w:r w:rsidRPr="00DC3535">
        <w:rPr>
          <w:b/>
        </w:rPr>
        <w:t xml:space="preserve"> </w:t>
      </w:r>
    </w:p>
    <w:p w:rsidR="00EE6505" w:rsidRPr="00DC3535" w:rsidRDefault="00EE6505" w:rsidP="00363C6C">
      <w:pPr>
        <w:numPr>
          <w:ilvl w:val="0"/>
          <w:numId w:val="9"/>
        </w:numPr>
        <w:rPr>
          <w:b/>
        </w:rPr>
      </w:pPr>
      <w:r w:rsidRPr="00DC3535">
        <w:rPr>
          <w:rStyle w:val="Strong"/>
          <w:rFonts w:cs="Arial"/>
        </w:rPr>
        <w:t>Strategic</w:t>
      </w:r>
      <w:r w:rsidRPr="00DC3535">
        <w:rPr>
          <w:b/>
        </w:rPr>
        <w:t xml:space="preserve"> </w:t>
      </w:r>
      <w:r w:rsidRPr="00DC3535">
        <w:rPr>
          <w:rStyle w:val="Strong"/>
          <w:rFonts w:cs="Arial"/>
        </w:rPr>
        <w:t>Programs and Alliances</w:t>
      </w:r>
      <w:r w:rsidRPr="00DC3535">
        <w:rPr>
          <w:b/>
        </w:rPr>
        <w:t xml:space="preserve">  </w:t>
      </w:r>
    </w:p>
    <w:p w:rsidR="00EE6505" w:rsidRPr="00DC3535" w:rsidRDefault="00EE6505" w:rsidP="00363C6C">
      <w:pPr>
        <w:numPr>
          <w:ilvl w:val="0"/>
          <w:numId w:val="9"/>
        </w:numPr>
        <w:rPr>
          <w:b/>
        </w:rPr>
      </w:pPr>
      <w:r w:rsidRPr="00DC3535">
        <w:rPr>
          <w:rStyle w:val="Strong"/>
          <w:rFonts w:cs="Arial"/>
        </w:rPr>
        <w:t>Multimedia Access</w:t>
      </w:r>
      <w:r w:rsidRPr="00DC3535">
        <w:rPr>
          <w:b/>
        </w:rPr>
        <w:t xml:space="preserve"> </w:t>
      </w:r>
    </w:p>
    <w:p w:rsidR="00EE6505" w:rsidRPr="00DC3535" w:rsidRDefault="00EE6505" w:rsidP="00363C6C">
      <w:pPr>
        <w:numPr>
          <w:ilvl w:val="0"/>
          <w:numId w:val="9"/>
        </w:numPr>
        <w:rPr>
          <w:b/>
        </w:rPr>
      </w:pPr>
      <w:r w:rsidRPr="00DC3535">
        <w:rPr>
          <w:rStyle w:val="Strong"/>
          <w:rFonts w:cs="Arial"/>
        </w:rPr>
        <w:t>Innovative Thinking</w:t>
      </w:r>
    </w:p>
    <w:p w:rsidR="00EE6505" w:rsidRPr="007A0FD3" w:rsidRDefault="00EE6505" w:rsidP="00363C6C"/>
    <w:p w:rsidR="00EE6505" w:rsidRPr="007A0FD3" w:rsidRDefault="004B199A" w:rsidP="00363C6C">
      <w:hyperlink r:id="rId11" w:history="1">
        <w:r w:rsidR="00EE6505" w:rsidRPr="007A0FD3">
          <w:rPr>
            <w:rStyle w:val="Hyperlink"/>
            <w:rFonts w:cs="Arial"/>
          </w:rPr>
          <w:t>http://nefe.org/AboutUs/tabid/56/Default.aspx</w:t>
        </w:r>
      </w:hyperlink>
    </w:p>
    <w:p w:rsidR="00EE6505" w:rsidRPr="00AF103E" w:rsidRDefault="00EE6505" w:rsidP="00363C6C">
      <w:pPr>
        <w:rPr>
          <w:b/>
          <w:i/>
          <w:sz w:val="28"/>
          <w:szCs w:val="28"/>
        </w:rPr>
      </w:pPr>
    </w:p>
    <w:p w:rsidR="00EE6505" w:rsidRPr="00DC3535" w:rsidRDefault="00EE6505" w:rsidP="00363C6C">
      <w:pPr>
        <w:rPr>
          <w:b/>
          <w:i/>
          <w:sz w:val="24"/>
          <w:szCs w:val="28"/>
        </w:rPr>
      </w:pPr>
      <w:r w:rsidRPr="00DC3535">
        <w:rPr>
          <w:b/>
          <w:i/>
          <w:sz w:val="24"/>
          <w:szCs w:val="28"/>
        </w:rPr>
        <w:t>Center for Financial Services Innovation (CFSI)</w:t>
      </w:r>
    </w:p>
    <w:p w:rsidR="00EE6505" w:rsidRPr="00DC3535" w:rsidRDefault="00EE6505" w:rsidP="00363C6C">
      <w:pPr>
        <w:rPr>
          <w:u w:val="single"/>
          <w:vertAlign w:val="superscript"/>
        </w:rPr>
      </w:pPr>
      <w:r w:rsidRPr="00DC3535">
        <w:t xml:space="preserve">The </w:t>
      </w:r>
      <w:r w:rsidRPr="00DC3535">
        <w:rPr>
          <w:u w:val="single"/>
        </w:rPr>
        <w:t>Center for Financial Services Innovation (CFSI)</w:t>
      </w:r>
      <w:r w:rsidRPr="00DC3535">
        <w:t xml:space="preserve"> is a nonprofit financial services consultancy headquartered in </w:t>
      </w:r>
      <w:smartTag w:uri="urn:schemas-microsoft-com:office:smarttags" w:element="place">
        <w:smartTag w:uri="urn:schemas-microsoft-com:office:smarttags" w:element="City">
          <w:r w:rsidRPr="00DC3535">
            <w:t>Chicago</w:t>
          </w:r>
        </w:smartTag>
      </w:smartTag>
      <w:r w:rsidRPr="00DC3535">
        <w:t>, specializing in serving unbanked and underbanked consumers</w:t>
      </w:r>
      <w:r>
        <w:t>.</w:t>
      </w:r>
      <w:r w:rsidRPr="00DC3535">
        <w:t xml:space="preserve"> It </w:t>
      </w:r>
      <w:r>
        <w:t>is considered</w:t>
      </w:r>
      <w:r w:rsidRPr="00DC3535">
        <w:t xml:space="preserve"> a national leader in research for the underbanked.</w:t>
      </w:r>
    </w:p>
    <w:p w:rsidR="00EE6505" w:rsidRPr="00DC3535" w:rsidRDefault="00EE6505" w:rsidP="00363C6C">
      <w:pPr>
        <w:rPr>
          <w:szCs w:val="22"/>
        </w:rPr>
      </w:pPr>
    </w:p>
    <w:p w:rsidR="00EE6505" w:rsidRDefault="00EE6505" w:rsidP="00363C6C">
      <w:pPr>
        <w:rPr>
          <w:szCs w:val="22"/>
        </w:rPr>
      </w:pPr>
    </w:p>
    <w:p w:rsidR="00E933F0" w:rsidRPr="00DC3535" w:rsidRDefault="00E933F0" w:rsidP="00363C6C">
      <w:pPr>
        <w:rPr>
          <w:szCs w:val="22"/>
        </w:rPr>
      </w:pPr>
    </w:p>
    <w:p w:rsidR="00EE6505" w:rsidRDefault="00EE6505" w:rsidP="00363C6C">
      <w:pPr>
        <w:rPr>
          <w:szCs w:val="22"/>
        </w:rPr>
      </w:pPr>
      <w:r>
        <w:rPr>
          <w:szCs w:val="22"/>
        </w:rPr>
        <w:lastRenderedPageBreak/>
        <w:t>CFSI seeks to:</w:t>
      </w:r>
    </w:p>
    <w:p w:rsidR="00EE6505" w:rsidRDefault="00EE6505" w:rsidP="00363C6C">
      <w:pPr>
        <w:pStyle w:val="ListParagraph"/>
        <w:numPr>
          <w:ilvl w:val="0"/>
          <w:numId w:val="10"/>
        </w:numPr>
        <w:rPr>
          <w:szCs w:val="22"/>
        </w:rPr>
      </w:pPr>
      <w:r w:rsidRPr="00A135EE">
        <w:rPr>
          <w:szCs w:val="22"/>
        </w:rPr>
        <w:t xml:space="preserve">improve the quality and quantity of </w:t>
      </w:r>
      <w:r>
        <w:rPr>
          <w:szCs w:val="22"/>
        </w:rPr>
        <w:t>financial products and services</w:t>
      </w:r>
    </w:p>
    <w:p w:rsidR="00EE6505" w:rsidRDefault="00EE6505" w:rsidP="00363C6C">
      <w:pPr>
        <w:pStyle w:val="ListParagraph"/>
        <w:numPr>
          <w:ilvl w:val="0"/>
          <w:numId w:val="10"/>
        </w:numPr>
        <w:rPr>
          <w:szCs w:val="22"/>
        </w:rPr>
      </w:pPr>
      <w:r w:rsidRPr="00A135EE">
        <w:rPr>
          <w:szCs w:val="22"/>
        </w:rPr>
        <w:t>better shape them to the needs and de</w:t>
      </w:r>
      <w:r>
        <w:rPr>
          <w:szCs w:val="22"/>
        </w:rPr>
        <w:t>sires of underbanked customers</w:t>
      </w:r>
    </w:p>
    <w:p w:rsidR="00EE6505" w:rsidRDefault="00EE6505" w:rsidP="00363C6C">
      <w:pPr>
        <w:pStyle w:val="ListParagraph"/>
        <w:numPr>
          <w:ilvl w:val="0"/>
          <w:numId w:val="10"/>
        </w:numPr>
        <w:rPr>
          <w:szCs w:val="22"/>
        </w:rPr>
      </w:pPr>
      <w:r w:rsidRPr="00A135EE">
        <w:rPr>
          <w:szCs w:val="22"/>
        </w:rPr>
        <w:t>expand effective savings and a</w:t>
      </w:r>
      <w:r>
        <w:rPr>
          <w:szCs w:val="22"/>
        </w:rPr>
        <w:t>sset acquisition opportunities</w:t>
      </w:r>
    </w:p>
    <w:p w:rsidR="00EE6505" w:rsidRPr="00A135EE" w:rsidRDefault="00EE6505" w:rsidP="00363C6C">
      <w:pPr>
        <w:pStyle w:val="ListParagraph"/>
        <w:numPr>
          <w:ilvl w:val="0"/>
          <w:numId w:val="10"/>
        </w:numPr>
        <w:rPr>
          <w:szCs w:val="22"/>
        </w:rPr>
      </w:pPr>
      <w:r w:rsidRPr="00A135EE">
        <w:rPr>
          <w:szCs w:val="22"/>
        </w:rPr>
        <w:t xml:space="preserve">spur innovation to bridge the gaps that remain in creating a path to prosperity for underbanked consumers </w:t>
      </w:r>
    </w:p>
    <w:p w:rsidR="00EE6505" w:rsidRDefault="00EE6505" w:rsidP="00363C6C">
      <w:pPr>
        <w:rPr>
          <w:szCs w:val="22"/>
        </w:rPr>
      </w:pPr>
    </w:p>
    <w:p w:rsidR="00EE6505" w:rsidRPr="00DC3535" w:rsidRDefault="004B199A" w:rsidP="00363C6C">
      <w:pPr>
        <w:rPr>
          <w:szCs w:val="22"/>
        </w:rPr>
      </w:pPr>
      <w:hyperlink r:id="rId12" w:history="1">
        <w:r w:rsidR="00EE6505" w:rsidRPr="00DC3535">
          <w:rPr>
            <w:rStyle w:val="Hyperlink"/>
            <w:rFonts w:cs="Arial"/>
            <w:szCs w:val="22"/>
          </w:rPr>
          <w:t>http://cfsinnovation.com/</w:t>
        </w:r>
      </w:hyperlink>
    </w:p>
    <w:p w:rsidR="00EE6505" w:rsidRPr="00DC3535" w:rsidRDefault="00EE6505" w:rsidP="00363C6C">
      <w:pPr>
        <w:rPr>
          <w:b/>
          <w:i/>
          <w:szCs w:val="22"/>
        </w:rPr>
      </w:pPr>
    </w:p>
    <w:p w:rsidR="00EE6505" w:rsidRPr="00081CBB" w:rsidRDefault="00EE6505" w:rsidP="00363C6C">
      <w:pPr>
        <w:rPr>
          <w:b/>
          <w:i/>
          <w:sz w:val="24"/>
          <w:szCs w:val="28"/>
        </w:rPr>
      </w:pPr>
      <w:r w:rsidRPr="00081CBB">
        <w:rPr>
          <w:b/>
          <w:i/>
          <w:sz w:val="24"/>
          <w:szCs w:val="28"/>
        </w:rPr>
        <w:t>US Department of Treasury, Office of Financial Education and Financial Access</w:t>
      </w:r>
    </w:p>
    <w:p w:rsidR="00EE6505" w:rsidRPr="00081CBB" w:rsidRDefault="00EE6505" w:rsidP="00363C6C"/>
    <w:p w:rsidR="00EE6505" w:rsidRDefault="00EE6505" w:rsidP="00363C6C">
      <w:pPr>
        <w:rPr>
          <w:b/>
          <w:color w:val="FF0000"/>
        </w:rPr>
      </w:pPr>
      <w:r>
        <w:t xml:space="preserve">The </w:t>
      </w:r>
      <w:r w:rsidRPr="00292C4F">
        <w:rPr>
          <w:u w:val="single"/>
        </w:rPr>
        <w:t>Office of Financial Education and Financial Access</w:t>
      </w:r>
      <w:r>
        <w:t xml:space="preserve"> is a</w:t>
      </w:r>
      <w:r w:rsidRPr="00081CBB">
        <w:t xml:space="preserve"> part of the US Department of Treasury’s Office of Domestic Finance</w:t>
      </w:r>
      <w:r>
        <w:t>.</w:t>
      </w:r>
      <w:r w:rsidRPr="00081CBB">
        <w:t xml:space="preserve"> </w:t>
      </w:r>
    </w:p>
    <w:p w:rsidR="00EE6505" w:rsidRDefault="00EE6505" w:rsidP="00363C6C"/>
    <w:p w:rsidR="00EE6505" w:rsidRDefault="00EE6505" w:rsidP="00363C6C">
      <w:r>
        <w:t>They support</w:t>
      </w:r>
      <w:r w:rsidRPr="00081CBB">
        <w:t xml:space="preserve"> the </w:t>
      </w:r>
      <w:hyperlink r:id="rId13" w:history="1">
        <w:r w:rsidRPr="00327F96">
          <w:rPr>
            <w:rStyle w:val="Hyperlink"/>
            <w:rFonts w:cs="Arial"/>
            <w:i/>
            <w:u w:val="single"/>
          </w:rPr>
          <w:t>My Money</w:t>
        </w:r>
      </w:hyperlink>
      <w:r w:rsidRPr="00327F96">
        <w:t xml:space="preserve"> site</w:t>
      </w:r>
      <w:r>
        <w:t xml:space="preserve">, </w:t>
      </w:r>
      <w:r w:rsidRPr="00081CBB">
        <w:t xml:space="preserve">the </w:t>
      </w:r>
      <w:smartTag w:uri="urn:schemas-microsoft-com:office:smarttags" w:element="place">
        <w:smartTag w:uri="urn:schemas-microsoft-com:office:smarttags" w:element="country-region">
          <w:r w:rsidRPr="00081CBB">
            <w:t>U.S.</w:t>
          </w:r>
        </w:smartTag>
      </w:smartTag>
      <w:r w:rsidRPr="00081CBB">
        <w:t xml:space="preserve"> government's website </w:t>
      </w:r>
      <w:r>
        <w:t>“</w:t>
      </w:r>
      <w:r w:rsidRPr="00081CBB">
        <w:t>dedicated to teaching all Americans the basics about financial education</w:t>
      </w:r>
      <w:r w:rsidRPr="00292C4F">
        <w:t>”.</w:t>
      </w:r>
      <w:r w:rsidRPr="00081CBB">
        <w:t xml:space="preserve"> </w:t>
      </w:r>
      <w:r>
        <w:t>The site provides information from twenty federal agencies and b</w:t>
      </w:r>
      <w:r w:rsidRPr="00081CBB">
        <w:t xml:space="preserve">ureaus designed to help </w:t>
      </w:r>
      <w:r>
        <w:t>people make smart financial choices.</w:t>
      </w:r>
    </w:p>
    <w:p w:rsidR="00EE6505" w:rsidRPr="00081CBB" w:rsidRDefault="00EE6505" w:rsidP="00363C6C"/>
    <w:p w:rsidR="00EE6505" w:rsidRPr="00081CBB" w:rsidRDefault="00EE6505" w:rsidP="00363C6C">
      <w:pPr>
        <w:rPr>
          <w:i/>
        </w:rPr>
      </w:pPr>
      <w:r>
        <w:t>US Department of Treasury also acts as the chairperson of</w:t>
      </w:r>
      <w:r w:rsidRPr="00081CBB">
        <w:t xml:space="preserve"> the </w:t>
      </w:r>
      <w:r w:rsidRPr="00327F96">
        <w:rPr>
          <w:rStyle w:val="Strong"/>
          <w:rFonts w:cs="Arial"/>
          <w:u w:val="single"/>
        </w:rPr>
        <w:t>Financial Literacy and Education Commission (FLEC)</w:t>
      </w:r>
      <w:r>
        <w:rPr>
          <w:rStyle w:val="Strong"/>
          <w:rFonts w:cs="Arial"/>
        </w:rPr>
        <w:t xml:space="preserve"> which has developed a set of core competencies for consumers and financial education providers.  These core competencies address the lack of a common understanding of what the financial education field is collectively trying to achieve and the lack of an agreement on the appropriate basic content for financial literacy and education.</w:t>
      </w:r>
    </w:p>
    <w:p w:rsidR="00EE6505" w:rsidRDefault="00EE6505" w:rsidP="00363C6C">
      <w:pPr>
        <w:pStyle w:val="firstchild"/>
        <w:spacing w:before="0" w:beforeAutospacing="0" w:after="0" w:afterAutospacing="0"/>
        <w:rPr>
          <w:rFonts w:ascii="Arial" w:hAnsi="Arial" w:cs="Arial"/>
          <w:sz w:val="20"/>
          <w:szCs w:val="20"/>
        </w:rPr>
      </w:pPr>
    </w:p>
    <w:p w:rsidR="00EE6505" w:rsidRDefault="00EE6505" w:rsidP="00363C6C">
      <w:pPr>
        <w:pStyle w:val="firstchild"/>
        <w:spacing w:before="0" w:beforeAutospacing="0" w:after="0" w:afterAutospacing="0"/>
        <w:rPr>
          <w:rFonts w:ascii="Arial" w:hAnsi="Arial" w:cs="Arial"/>
          <w:sz w:val="20"/>
          <w:szCs w:val="20"/>
        </w:rPr>
      </w:pPr>
      <w:r>
        <w:rPr>
          <w:rFonts w:ascii="Arial" w:hAnsi="Arial" w:cs="Arial"/>
          <w:sz w:val="20"/>
          <w:szCs w:val="20"/>
        </w:rPr>
        <w:t>T</w:t>
      </w:r>
      <w:r w:rsidRPr="00081CBB">
        <w:rPr>
          <w:rFonts w:ascii="Arial" w:hAnsi="Arial" w:cs="Arial"/>
          <w:sz w:val="20"/>
          <w:szCs w:val="20"/>
        </w:rPr>
        <w:t>he Core Competencies establish</w:t>
      </w:r>
      <w:r>
        <w:rPr>
          <w:rFonts w:ascii="Arial" w:hAnsi="Arial" w:cs="Arial"/>
          <w:sz w:val="20"/>
          <w:szCs w:val="20"/>
        </w:rPr>
        <w:t xml:space="preserve"> a baseline of knowledge, a</w:t>
      </w:r>
      <w:r w:rsidRPr="00081CBB">
        <w:rPr>
          <w:rFonts w:ascii="Arial" w:hAnsi="Arial" w:cs="Arial"/>
          <w:sz w:val="20"/>
          <w:szCs w:val="20"/>
        </w:rPr>
        <w:t xml:space="preserve"> clear understanding about what individuals should know and the basic concepts program providers should cover.</w:t>
      </w:r>
      <w:r>
        <w:rPr>
          <w:rFonts w:ascii="Arial" w:hAnsi="Arial" w:cs="Arial"/>
          <w:sz w:val="20"/>
          <w:szCs w:val="20"/>
        </w:rPr>
        <w:t xml:space="preserve"> The five core concept areas, each with specific core competencies, are: </w:t>
      </w:r>
    </w:p>
    <w:p w:rsidR="00EE6505" w:rsidRDefault="00EE6505" w:rsidP="00363C6C">
      <w:pPr>
        <w:pStyle w:val="citable"/>
        <w:numPr>
          <w:ilvl w:val="0"/>
          <w:numId w:val="11"/>
        </w:numPr>
        <w:spacing w:before="0" w:beforeAutospacing="0" w:after="0" w:afterAutospacing="0"/>
        <w:rPr>
          <w:rFonts w:ascii="Arial" w:hAnsi="Arial" w:cs="Arial"/>
          <w:sz w:val="20"/>
          <w:szCs w:val="20"/>
        </w:rPr>
      </w:pPr>
      <w:r>
        <w:rPr>
          <w:rFonts w:ascii="Arial" w:hAnsi="Arial" w:cs="Arial"/>
          <w:sz w:val="20"/>
          <w:szCs w:val="20"/>
        </w:rPr>
        <w:t>e</w:t>
      </w:r>
      <w:r w:rsidRPr="00081CBB">
        <w:rPr>
          <w:rFonts w:ascii="Arial" w:hAnsi="Arial" w:cs="Arial"/>
          <w:sz w:val="20"/>
          <w:szCs w:val="20"/>
        </w:rPr>
        <w:t>arning</w:t>
      </w:r>
    </w:p>
    <w:p w:rsidR="00EE6505" w:rsidRDefault="00EE6505" w:rsidP="00363C6C">
      <w:pPr>
        <w:pStyle w:val="citable"/>
        <w:numPr>
          <w:ilvl w:val="0"/>
          <w:numId w:val="11"/>
        </w:numPr>
        <w:spacing w:before="0" w:beforeAutospacing="0" w:after="0" w:afterAutospacing="0"/>
        <w:rPr>
          <w:rFonts w:ascii="Arial" w:hAnsi="Arial" w:cs="Arial"/>
          <w:sz w:val="20"/>
          <w:szCs w:val="20"/>
        </w:rPr>
      </w:pPr>
      <w:r w:rsidRPr="00081CBB">
        <w:rPr>
          <w:rFonts w:ascii="Arial" w:hAnsi="Arial" w:cs="Arial"/>
          <w:sz w:val="20"/>
          <w:szCs w:val="20"/>
        </w:rPr>
        <w:t>spending</w:t>
      </w:r>
    </w:p>
    <w:p w:rsidR="00EE6505" w:rsidRDefault="00EE6505" w:rsidP="00363C6C">
      <w:pPr>
        <w:pStyle w:val="citable"/>
        <w:numPr>
          <w:ilvl w:val="0"/>
          <w:numId w:val="11"/>
        </w:numPr>
        <w:spacing w:before="0" w:beforeAutospacing="0" w:after="0" w:afterAutospacing="0"/>
        <w:rPr>
          <w:rFonts w:ascii="Arial" w:hAnsi="Arial" w:cs="Arial"/>
          <w:sz w:val="20"/>
          <w:szCs w:val="20"/>
        </w:rPr>
      </w:pPr>
      <w:r w:rsidRPr="00081CBB">
        <w:rPr>
          <w:rFonts w:ascii="Arial" w:hAnsi="Arial" w:cs="Arial"/>
          <w:sz w:val="20"/>
          <w:szCs w:val="20"/>
        </w:rPr>
        <w:t>saving</w:t>
      </w:r>
    </w:p>
    <w:p w:rsidR="00EE6505" w:rsidRDefault="00EE6505" w:rsidP="00363C6C">
      <w:pPr>
        <w:pStyle w:val="citable"/>
        <w:numPr>
          <w:ilvl w:val="0"/>
          <w:numId w:val="11"/>
        </w:numPr>
        <w:spacing w:before="0" w:beforeAutospacing="0" w:after="0" w:afterAutospacing="0"/>
        <w:rPr>
          <w:rFonts w:ascii="Arial" w:hAnsi="Arial" w:cs="Arial"/>
          <w:sz w:val="20"/>
          <w:szCs w:val="20"/>
        </w:rPr>
      </w:pPr>
      <w:r w:rsidRPr="00081CBB">
        <w:rPr>
          <w:rFonts w:ascii="Arial" w:hAnsi="Arial" w:cs="Arial"/>
          <w:sz w:val="20"/>
          <w:szCs w:val="20"/>
        </w:rPr>
        <w:t>borrowing</w:t>
      </w:r>
    </w:p>
    <w:p w:rsidR="00EE6505" w:rsidRDefault="00EE6505" w:rsidP="00363C6C">
      <w:pPr>
        <w:pStyle w:val="citable"/>
        <w:numPr>
          <w:ilvl w:val="0"/>
          <w:numId w:val="11"/>
        </w:numPr>
        <w:spacing w:before="0" w:beforeAutospacing="0" w:after="0" w:afterAutospacing="0"/>
        <w:rPr>
          <w:rFonts w:ascii="Arial" w:hAnsi="Arial" w:cs="Arial"/>
          <w:sz w:val="20"/>
          <w:szCs w:val="20"/>
        </w:rPr>
      </w:pPr>
      <w:r>
        <w:rPr>
          <w:rFonts w:ascii="Arial" w:hAnsi="Arial" w:cs="Arial"/>
          <w:sz w:val="20"/>
          <w:szCs w:val="20"/>
        </w:rPr>
        <w:t>protecting against risk</w:t>
      </w:r>
    </w:p>
    <w:p w:rsidR="00EE6505" w:rsidRDefault="00EE6505" w:rsidP="00363C6C">
      <w:pPr>
        <w:pStyle w:val="citable"/>
        <w:spacing w:before="0" w:beforeAutospacing="0" w:after="0" w:afterAutospacing="0"/>
        <w:rPr>
          <w:rFonts w:ascii="Arial" w:hAnsi="Arial" w:cs="Arial"/>
          <w:sz w:val="20"/>
          <w:szCs w:val="20"/>
        </w:rPr>
      </w:pPr>
    </w:p>
    <w:p w:rsidR="00EE6505" w:rsidRPr="00081CBB" w:rsidRDefault="00EE6505" w:rsidP="00363C6C">
      <w:pPr>
        <w:pStyle w:val="citable"/>
        <w:spacing w:before="0" w:beforeAutospacing="0" w:after="0" w:afterAutospacing="0"/>
        <w:rPr>
          <w:rFonts w:ascii="Arial" w:hAnsi="Arial" w:cs="Arial"/>
          <w:sz w:val="20"/>
          <w:szCs w:val="20"/>
        </w:rPr>
      </w:pPr>
      <w:r w:rsidRPr="00081CBB">
        <w:rPr>
          <w:rFonts w:ascii="Arial" w:hAnsi="Arial" w:cs="Arial"/>
          <w:sz w:val="20"/>
          <w:szCs w:val="20"/>
        </w:rPr>
        <w:t xml:space="preserve">A more in-depth explanation of these core concepts can be found </w:t>
      </w:r>
      <w:hyperlink r:id="rId14" w:anchor="p-7" w:history="1">
        <w:r w:rsidRPr="00327F96">
          <w:rPr>
            <w:rStyle w:val="Hyperlink"/>
            <w:rFonts w:ascii="Arial" w:hAnsi="Arial" w:cs="Arial"/>
            <w:sz w:val="20"/>
            <w:szCs w:val="20"/>
            <w:u w:val="single"/>
          </w:rPr>
          <w:t>here</w:t>
        </w:r>
      </w:hyperlink>
      <w:r>
        <w:rPr>
          <w:rFonts w:ascii="Arial" w:hAnsi="Arial" w:cs="Arial"/>
          <w:sz w:val="20"/>
          <w:szCs w:val="20"/>
        </w:rPr>
        <w:t>.</w:t>
      </w:r>
      <w:r w:rsidRPr="00081CBB">
        <w:rPr>
          <w:rFonts w:ascii="Arial" w:hAnsi="Arial" w:cs="Arial"/>
          <w:sz w:val="20"/>
          <w:szCs w:val="20"/>
        </w:rPr>
        <w:t xml:space="preserve"> </w:t>
      </w:r>
    </w:p>
    <w:p w:rsidR="00EE6505" w:rsidRDefault="00EE6505" w:rsidP="00363C6C"/>
    <w:p w:rsidR="00EE6505" w:rsidRPr="00081CBB" w:rsidRDefault="004B199A" w:rsidP="00363C6C">
      <w:hyperlink r:id="rId15" w:history="1">
        <w:r w:rsidR="00EE6505" w:rsidRPr="00327F96">
          <w:rPr>
            <w:rStyle w:val="Hyperlink"/>
            <w:rFonts w:cs="Arial"/>
          </w:rPr>
          <w:t>http://www.ustreas.gov/offices/domestic-finance/financial-institution/fin-education/</w:t>
        </w:r>
      </w:hyperlink>
    </w:p>
    <w:p w:rsidR="00EE6505" w:rsidRPr="000312A3" w:rsidRDefault="00EE6505" w:rsidP="00363C6C">
      <w:pPr>
        <w:rPr>
          <w:sz w:val="22"/>
          <w:szCs w:val="22"/>
        </w:rPr>
      </w:pPr>
    </w:p>
    <w:p w:rsidR="00EE6505" w:rsidRPr="00FB588D" w:rsidRDefault="00EE6505" w:rsidP="00363C6C">
      <w:pPr>
        <w:rPr>
          <w:b/>
          <w:i/>
          <w:sz w:val="24"/>
          <w:szCs w:val="28"/>
        </w:rPr>
      </w:pPr>
      <w:r w:rsidRPr="00FB588D">
        <w:rPr>
          <w:b/>
          <w:i/>
          <w:sz w:val="24"/>
          <w:szCs w:val="28"/>
        </w:rPr>
        <w:t>National Funders and Research Institutions</w:t>
      </w:r>
    </w:p>
    <w:p w:rsidR="00EE6505" w:rsidRPr="00A92E3C" w:rsidRDefault="00EE6505" w:rsidP="00A92E3C">
      <w:pPr>
        <w:pStyle w:val="Default"/>
        <w:rPr>
          <w:rFonts w:ascii="Arial" w:hAnsi="Arial" w:cs="Arial"/>
          <w:sz w:val="20"/>
          <w:szCs w:val="20"/>
        </w:rPr>
      </w:pPr>
      <w:r w:rsidRPr="00A92E3C">
        <w:rPr>
          <w:rFonts w:ascii="Arial" w:hAnsi="Arial" w:cs="Arial"/>
          <w:sz w:val="20"/>
          <w:szCs w:val="20"/>
        </w:rPr>
        <w:t>Many are named in this inventory, others include but are not limited to New America Foundation, Brookings Institute, American Bankers Association Education Foundation, MDRC, Institute for Financial Literacy,</w:t>
      </w:r>
      <w:r>
        <w:rPr>
          <w:rFonts w:ascii="Arial" w:hAnsi="Arial" w:cs="Arial"/>
          <w:sz w:val="20"/>
          <w:szCs w:val="20"/>
        </w:rPr>
        <w:t xml:space="preserve"> Thrivent Financial for Lutherans,</w:t>
      </w:r>
      <w:r w:rsidRPr="00A92E3C">
        <w:rPr>
          <w:rFonts w:ascii="Arial" w:hAnsi="Arial" w:cs="Arial"/>
          <w:sz w:val="20"/>
          <w:szCs w:val="20"/>
        </w:rPr>
        <w:t xml:space="preserve"> Social Security Administration - which has established a new Financial Literacy Research Consortium (FLRC) that is made up of research centers at Boston College, the RAND Corporation, and the University of Wisconsin.</w:t>
      </w:r>
    </w:p>
    <w:p w:rsidR="00EE6505" w:rsidRDefault="00EE6505" w:rsidP="00363C6C">
      <w:pPr>
        <w:rPr>
          <w:b/>
          <w:i/>
          <w:sz w:val="24"/>
          <w:szCs w:val="28"/>
        </w:rPr>
      </w:pPr>
    </w:p>
    <w:p w:rsidR="00EE6505" w:rsidRPr="000C668A" w:rsidRDefault="00EE6505" w:rsidP="00363C6C">
      <w:pPr>
        <w:rPr>
          <w:b/>
          <w:i/>
          <w:sz w:val="24"/>
          <w:szCs w:val="28"/>
        </w:rPr>
      </w:pPr>
      <w:r w:rsidRPr="000C668A">
        <w:rPr>
          <w:b/>
          <w:i/>
          <w:sz w:val="24"/>
          <w:szCs w:val="28"/>
        </w:rPr>
        <w:t>Federal Reserve Bank of Minneapolis</w:t>
      </w:r>
    </w:p>
    <w:p w:rsidR="00EE6505" w:rsidRDefault="00EE6505" w:rsidP="00363C6C">
      <w:pPr>
        <w:pStyle w:val="NormalWeb"/>
        <w:spacing w:before="0" w:beforeAutospacing="0" w:after="0" w:afterAutospacing="0"/>
        <w:rPr>
          <w:rFonts w:ascii="Arial" w:hAnsi="Arial" w:cs="Arial"/>
          <w:color w:val="000000"/>
          <w:sz w:val="20"/>
          <w:szCs w:val="20"/>
        </w:rPr>
      </w:pPr>
      <w:r w:rsidRPr="009B125E">
        <w:rPr>
          <w:rFonts w:ascii="Arial" w:hAnsi="Arial" w:cs="Arial"/>
          <w:color w:val="000000"/>
          <w:sz w:val="20"/>
          <w:szCs w:val="20"/>
        </w:rPr>
        <w:t xml:space="preserve">The </w:t>
      </w:r>
      <w:r w:rsidRPr="009B125E">
        <w:rPr>
          <w:rFonts w:ascii="Arial" w:hAnsi="Arial" w:cs="Arial"/>
          <w:color w:val="000000"/>
          <w:sz w:val="20"/>
          <w:szCs w:val="20"/>
          <w:u w:val="single"/>
        </w:rPr>
        <w:t>Federal Reserve Bank of Minneapolis</w:t>
      </w:r>
      <w:r w:rsidRPr="009B125E">
        <w:rPr>
          <w:rFonts w:ascii="Arial" w:hAnsi="Arial" w:cs="Arial"/>
          <w:color w:val="000000"/>
          <w:sz w:val="20"/>
          <w:szCs w:val="20"/>
        </w:rPr>
        <w:t xml:space="preserve"> promotes Financial Education through its Community Affairs Office by </w:t>
      </w:r>
      <w:r w:rsidRPr="009B125E">
        <w:rPr>
          <w:rFonts w:ascii="Arial" w:hAnsi="Arial" w:cs="Arial"/>
          <w:sz w:val="20"/>
          <w:szCs w:val="20"/>
        </w:rPr>
        <w:t>promoting “efforts to educate consumers of all ages about managing money, saving for retirement, and building credit</w:t>
      </w:r>
      <w:r>
        <w:rPr>
          <w:rFonts w:ascii="Arial" w:hAnsi="Arial" w:cs="Arial"/>
          <w:b/>
          <w:i/>
        </w:rPr>
        <w:t>”</w:t>
      </w:r>
      <w:r w:rsidRPr="009B125E">
        <w:rPr>
          <w:rFonts w:ascii="Arial" w:hAnsi="Arial" w:cs="Arial"/>
          <w:sz w:val="20"/>
          <w:szCs w:val="20"/>
        </w:rPr>
        <w:t xml:space="preserve">. </w:t>
      </w:r>
      <w:r>
        <w:rPr>
          <w:rFonts w:ascii="Arial" w:hAnsi="Arial" w:cs="Arial"/>
          <w:sz w:val="20"/>
          <w:szCs w:val="20"/>
        </w:rPr>
        <w:t>Their</w:t>
      </w:r>
      <w:r>
        <w:rPr>
          <w:rFonts w:ascii="Arial" w:hAnsi="Arial" w:cs="Arial"/>
          <w:color w:val="000000"/>
          <w:sz w:val="20"/>
          <w:szCs w:val="20"/>
        </w:rPr>
        <w:t xml:space="preserve"> financial e</w:t>
      </w:r>
      <w:r w:rsidRPr="00260F8C">
        <w:rPr>
          <w:rFonts w:ascii="Arial" w:hAnsi="Arial" w:cs="Arial"/>
          <w:color w:val="000000"/>
          <w:sz w:val="20"/>
          <w:szCs w:val="20"/>
        </w:rPr>
        <w:t xml:space="preserve">ducation resources </w:t>
      </w:r>
      <w:r>
        <w:rPr>
          <w:rFonts w:ascii="Arial" w:hAnsi="Arial" w:cs="Arial"/>
          <w:color w:val="000000"/>
          <w:sz w:val="20"/>
          <w:szCs w:val="20"/>
        </w:rPr>
        <w:t xml:space="preserve">are </w:t>
      </w:r>
      <w:r w:rsidRPr="00260F8C">
        <w:rPr>
          <w:rFonts w:ascii="Arial" w:hAnsi="Arial" w:cs="Arial"/>
          <w:color w:val="000000"/>
          <w:sz w:val="20"/>
          <w:szCs w:val="20"/>
        </w:rPr>
        <w:t>geared towards students, teachers and the public.</w:t>
      </w:r>
    </w:p>
    <w:p w:rsidR="00EE6505" w:rsidRDefault="00EE6505" w:rsidP="00363C6C">
      <w:pPr>
        <w:pStyle w:val="NormalWeb"/>
        <w:spacing w:before="0" w:beforeAutospacing="0" w:after="0" w:afterAutospacing="0"/>
        <w:rPr>
          <w:rFonts w:ascii="Arial" w:hAnsi="Arial" w:cs="Arial"/>
          <w:color w:val="000000"/>
          <w:sz w:val="20"/>
          <w:szCs w:val="20"/>
        </w:rPr>
      </w:pPr>
    </w:p>
    <w:p w:rsidR="00EE6505" w:rsidRPr="009B125E" w:rsidRDefault="00EE6505" w:rsidP="00363C6C">
      <w:pPr>
        <w:pStyle w:val="NormalWeb"/>
        <w:spacing w:before="0" w:beforeAutospacing="0" w:after="0" w:afterAutospacing="0"/>
        <w:rPr>
          <w:rFonts w:ascii="Arial" w:hAnsi="Arial" w:cs="Arial"/>
          <w:b/>
          <w:sz w:val="20"/>
          <w:szCs w:val="20"/>
        </w:rPr>
      </w:pPr>
      <w:r w:rsidRPr="009B125E">
        <w:rPr>
          <w:rFonts w:ascii="Arial" w:hAnsi="Arial" w:cs="Arial"/>
          <w:sz w:val="20"/>
        </w:rPr>
        <w:t xml:space="preserve">Their </w:t>
      </w:r>
      <w:r w:rsidRPr="009B125E">
        <w:rPr>
          <w:rFonts w:ascii="Arial" w:hAnsi="Arial" w:cs="Arial"/>
          <w:sz w:val="20"/>
          <w:szCs w:val="20"/>
        </w:rPr>
        <w:t>activities include</w:t>
      </w:r>
      <w:r w:rsidRPr="009B125E">
        <w:rPr>
          <w:rFonts w:ascii="Arial" w:hAnsi="Arial" w:cs="Arial"/>
          <w:b/>
          <w:sz w:val="20"/>
          <w:szCs w:val="20"/>
        </w:rPr>
        <w:t>:</w:t>
      </w:r>
      <w:r w:rsidRPr="009B125E">
        <w:rPr>
          <w:rFonts w:ascii="Arial" w:hAnsi="Arial" w:cs="Arial"/>
          <w:sz w:val="20"/>
          <w:szCs w:val="20"/>
        </w:rPr>
        <w:t xml:space="preserve"> </w:t>
      </w:r>
    </w:p>
    <w:p w:rsidR="00EE6505" w:rsidRDefault="00EE6505" w:rsidP="00363C6C">
      <w:pPr>
        <w:pStyle w:val="Heading4"/>
        <w:numPr>
          <w:ilvl w:val="0"/>
          <w:numId w:val="12"/>
        </w:numPr>
        <w:spacing w:before="0"/>
        <w:rPr>
          <w:rFonts w:ascii="Arial" w:hAnsi="Arial" w:cs="Arial"/>
          <w:b w:val="0"/>
          <w:i w:val="0"/>
          <w:color w:val="auto"/>
        </w:rPr>
      </w:pPr>
      <w:r w:rsidRPr="009B125E">
        <w:rPr>
          <w:rFonts w:ascii="Arial" w:hAnsi="Arial" w:cs="Arial"/>
          <w:b w:val="0"/>
          <w:i w:val="0"/>
          <w:color w:val="auto"/>
        </w:rPr>
        <w:t>serving as lead conveners of statewide and national financial education coalitions</w:t>
      </w:r>
    </w:p>
    <w:p w:rsidR="00EE6505" w:rsidRDefault="00EE6505" w:rsidP="00363C6C">
      <w:pPr>
        <w:pStyle w:val="Heading4"/>
        <w:numPr>
          <w:ilvl w:val="0"/>
          <w:numId w:val="12"/>
        </w:numPr>
        <w:spacing w:before="0"/>
        <w:rPr>
          <w:rFonts w:ascii="Arial" w:hAnsi="Arial" w:cs="Arial"/>
          <w:b w:val="0"/>
          <w:i w:val="0"/>
          <w:color w:val="auto"/>
        </w:rPr>
      </w:pPr>
      <w:r w:rsidRPr="009B125E">
        <w:rPr>
          <w:rFonts w:ascii="Arial" w:hAnsi="Arial" w:cs="Arial"/>
          <w:b w:val="0"/>
          <w:i w:val="0"/>
          <w:color w:val="auto"/>
        </w:rPr>
        <w:t>collaborating with partners in the private, public, and nonprofit sectors to produce ed</w:t>
      </w:r>
      <w:r>
        <w:rPr>
          <w:rFonts w:ascii="Arial" w:hAnsi="Arial" w:cs="Arial"/>
          <w:b w:val="0"/>
          <w:i w:val="0"/>
          <w:color w:val="auto"/>
        </w:rPr>
        <w:t>ucational materials and events</w:t>
      </w:r>
    </w:p>
    <w:p w:rsidR="00EE6505" w:rsidRDefault="00EE6505" w:rsidP="00363C6C">
      <w:pPr>
        <w:pStyle w:val="Heading4"/>
        <w:numPr>
          <w:ilvl w:val="0"/>
          <w:numId w:val="12"/>
        </w:numPr>
        <w:spacing w:before="0"/>
        <w:rPr>
          <w:rFonts w:ascii="Arial" w:hAnsi="Arial" w:cs="Arial"/>
          <w:b w:val="0"/>
          <w:i w:val="0"/>
          <w:color w:val="auto"/>
        </w:rPr>
      </w:pPr>
      <w:r w:rsidRPr="009B125E">
        <w:rPr>
          <w:rFonts w:ascii="Arial" w:hAnsi="Arial" w:cs="Arial"/>
          <w:b w:val="0"/>
          <w:i w:val="0"/>
          <w:color w:val="auto"/>
        </w:rPr>
        <w:t xml:space="preserve">researching the efficacy of financial education curricula. </w:t>
      </w:r>
    </w:p>
    <w:p w:rsidR="00EE6505" w:rsidRPr="009B125E" w:rsidRDefault="00EE6505" w:rsidP="00363C6C">
      <w:pPr>
        <w:pStyle w:val="Heading4"/>
        <w:numPr>
          <w:ilvl w:val="0"/>
          <w:numId w:val="12"/>
        </w:numPr>
        <w:spacing w:before="0"/>
        <w:rPr>
          <w:rFonts w:ascii="Arial" w:hAnsi="Arial" w:cs="Arial"/>
          <w:b w:val="0"/>
          <w:i w:val="0"/>
          <w:color w:val="auto"/>
        </w:rPr>
      </w:pPr>
      <w:r>
        <w:rPr>
          <w:rFonts w:ascii="Arial" w:hAnsi="Arial" w:cs="Arial"/>
          <w:b w:val="0"/>
          <w:i w:val="0"/>
          <w:color w:val="auto"/>
        </w:rPr>
        <w:t>participating</w:t>
      </w:r>
      <w:r w:rsidRPr="009B125E">
        <w:rPr>
          <w:rFonts w:ascii="Arial" w:hAnsi="Arial" w:cs="Arial"/>
          <w:b w:val="0"/>
          <w:i w:val="0"/>
          <w:color w:val="auto"/>
        </w:rPr>
        <w:t xml:space="preserve"> in several initiatives designed to bring unbanked and underbanked consumer</w:t>
      </w:r>
      <w:r>
        <w:rPr>
          <w:rFonts w:ascii="Arial" w:hAnsi="Arial" w:cs="Arial"/>
          <w:b w:val="0"/>
          <w:i w:val="0"/>
          <w:color w:val="auto"/>
        </w:rPr>
        <w:t>s into the financial mainstream</w:t>
      </w:r>
    </w:p>
    <w:p w:rsidR="00EE6505" w:rsidRDefault="00EE6505" w:rsidP="00363C6C">
      <w:pPr>
        <w:pStyle w:val="NormalWeb"/>
        <w:spacing w:before="0" w:beforeAutospacing="0" w:after="0" w:afterAutospacing="0"/>
        <w:rPr>
          <w:rFonts w:ascii="Arial" w:hAnsi="Arial" w:cs="Arial"/>
          <w:color w:val="000000"/>
          <w:sz w:val="20"/>
          <w:szCs w:val="20"/>
        </w:rPr>
      </w:pPr>
    </w:p>
    <w:p w:rsidR="00EE6505" w:rsidRPr="00260F8C" w:rsidRDefault="004B199A" w:rsidP="00363C6C">
      <w:pPr>
        <w:pStyle w:val="NormalWeb"/>
        <w:spacing w:before="0" w:beforeAutospacing="0" w:after="0" w:afterAutospacing="0"/>
        <w:rPr>
          <w:rFonts w:ascii="Arial" w:hAnsi="Arial" w:cs="Arial"/>
          <w:color w:val="000000"/>
          <w:sz w:val="20"/>
          <w:szCs w:val="20"/>
        </w:rPr>
      </w:pPr>
      <w:hyperlink r:id="rId16" w:history="1">
        <w:r w:rsidR="00EE6505" w:rsidRPr="009B125E">
          <w:rPr>
            <w:rStyle w:val="Hyperlink"/>
            <w:rFonts w:ascii="Arial" w:hAnsi="Arial" w:cs="Arial"/>
            <w:sz w:val="20"/>
            <w:szCs w:val="20"/>
          </w:rPr>
          <w:t>http://amser.org/index.php?P=AMSER--ResourceFrame&amp;resourceId=13610</w:t>
        </w:r>
      </w:hyperlink>
    </w:p>
    <w:p w:rsidR="00EE6505" w:rsidRPr="00AF103E" w:rsidRDefault="00EE6505" w:rsidP="00363C6C">
      <w:pPr>
        <w:rPr>
          <w:b/>
          <w:i/>
          <w:sz w:val="28"/>
          <w:szCs w:val="28"/>
        </w:rPr>
      </w:pPr>
    </w:p>
    <w:p w:rsidR="00EE6505" w:rsidRPr="00755D84" w:rsidRDefault="00EE6505" w:rsidP="00363C6C">
      <w:pPr>
        <w:rPr>
          <w:b/>
          <w:i/>
          <w:sz w:val="24"/>
          <w:szCs w:val="28"/>
        </w:rPr>
      </w:pPr>
      <w:r w:rsidRPr="00755D84">
        <w:rPr>
          <w:b/>
          <w:i/>
          <w:sz w:val="24"/>
          <w:szCs w:val="28"/>
        </w:rPr>
        <w:t>U</w:t>
      </w:r>
      <w:r>
        <w:rPr>
          <w:b/>
          <w:i/>
          <w:sz w:val="24"/>
          <w:szCs w:val="28"/>
        </w:rPr>
        <w:t>.</w:t>
      </w:r>
      <w:r w:rsidRPr="00755D84">
        <w:rPr>
          <w:b/>
          <w:i/>
          <w:sz w:val="24"/>
          <w:szCs w:val="28"/>
        </w:rPr>
        <w:t>S</w:t>
      </w:r>
      <w:r>
        <w:rPr>
          <w:b/>
          <w:i/>
          <w:sz w:val="24"/>
          <w:szCs w:val="28"/>
        </w:rPr>
        <w:t>.</w:t>
      </w:r>
      <w:r w:rsidRPr="00755D84">
        <w:rPr>
          <w:b/>
          <w:i/>
          <w:sz w:val="24"/>
          <w:szCs w:val="28"/>
        </w:rPr>
        <w:t xml:space="preserve"> Department of Education</w:t>
      </w:r>
    </w:p>
    <w:p w:rsidR="00EE6505" w:rsidRPr="00480728" w:rsidRDefault="00EE6505" w:rsidP="00363C6C">
      <w:pPr>
        <w:rPr>
          <w:b/>
          <w:i/>
        </w:rPr>
      </w:pPr>
      <w:r w:rsidRPr="00480728">
        <w:rPr>
          <w:u w:val="single"/>
        </w:rPr>
        <w:t>The US Department of Education’s</w:t>
      </w:r>
      <w:r w:rsidRPr="00AC5B0C">
        <w:t xml:space="preserve">  </w:t>
      </w:r>
      <w:r w:rsidRPr="00480728">
        <w:rPr>
          <w:u w:val="single"/>
        </w:rPr>
        <w:t>Financial Education for College Access and Success</w:t>
      </w:r>
      <w:r>
        <w:t xml:space="preserve"> “</w:t>
      </w:r>
      <w:r w:rsidRPr="00480728">
        <w:t>support</w:t>
      </w:r>
      <w:r>
        <w:t>s s</w:t>
      </w:r>
      <w:r w:rsidRPr="00480728">
        <w:t>tate-led efforts to develop, implement, and evaluate the effectiveness of personal finance instructional materials and corresponding teacher training, with the express purpose of providing high school students with knowledge and skills to make sound financial aid and other personal finance decisions, particularly in relation to obtaining access to, persisting in, and completing postsecondary education</w:t>
      </w:r>
      <w:r>
        <w:t>”</w:t>
      </w:r>
      <w:r w:rsidRPr="00480728">
        <w:t>.</w:t>
      </w:r>
    </w:p>
    <w:p w:rsidR="00EE6505" w:rsidRDefault="00EE6505" w:rsidP="00363C6C">
      <w:pPr>
        <w:pStyle w:val="NormalWeb"/>
        <w:spacing w:before="0" w:beforeAutospacing="0" w:after="0" w:afterAutospacing="0"/>
        <w:rPr>
          <w:rFonts w:ascii="Arial" w:hAnsi="Arial" w:cs="Arial"/>
          <w:sz w:val="20"/>
          <w:szCs w:val="20"/>
        </w:rPr>
      </w:pPr>
    </w:p>
    <w:p w:rsidR="00EE6505" w:rsidRPr="00480728" w:rsidRDefault="00EE6505" w:rsidP="00363C6C">
      <w:pPr>
        <w:pStyle w:val="NormalWeb"/>
        <w:spacing w:before="0" w:beforeAutospacing="0" w:after="0" w:afterAutospacing="0"/>
        <w:rPr>
          <w:rFonts w:ascii="Arial" w:hAnsi="Arial" w:cs="Arial"/>
          <w:sz w:val="20"/>
          <w:szCs w:val="20"/>
        </w:rPr>
      </w:pPr>
      <w:r>
        <w:rPr>
          <w:rFonts w:ascii="Arial" w:hAnsi="Arial" w:cs="Arial"/>
          <w:sz w:val="20"/>
          <w:szCs w:val="20"/>
        </w:rPr>
        <w:t>M</w:t>
      </w:r>
      <w:r w:rsidRPr="00480728">
        <w:rPr>
          <w:rFonts w:ascii="Arial" w:hAnsi="Arial" w:cs="Arial"/>
          <w:sz w:val="20"/>
          <w:szCs w:val="20"/>
        </w:rPr>
        <w:t xml:space="preserve">aterials developed through this program </w:t>
      </w:r>
      <w:r>
        <w:rPr>
          <w:rFonts w:ascii="Arial" w:hAnsi="Arial" w:cs="Arial"/>
          <w:sz w:val="20"/>
          <w:szCs w:val="20"/>
        </w:rPr>
        <w:t>and t</w:t>
      </w:r>
      <w:r w:rsidRPr="00480728">
        <w:rPr>
          <w:rFonts w:ascii="Arial" w:hAnsi="Arial" w:cs="Arial"/>
          <w:sz w:val="20"/>
          <w:szCs w:val="20"/>
        </w:rPr>
        <w:t>ested resources found to be effective in high-need school districts will be made available for educators across the country to modify or adopt.</w:t>
      </w:r>
    </w:p>
    <w:p w:rsidR="00EE6505" w:rsidRDefault="00EE6505" w:rsidP="00363C6C">
      <w:pPr>
        <w:pStyle w:val="NormalWeb"/>
        <w:spacing w:before="0" w:beforeAutospacing="0" w:after="0" w:afterAutospacing="0"/>
        <w:rPr>
          <w:rFonts w:ascii="Arial" w:hAnsi="Arial" w:cs="Arial"/>
          <w:sz w:val="20"/>
          <w:szCs w:val="20"/>
        </w:rPr>
      </w:pPr>
    </w:p>
    <w:p w:rsidR="00EE6505" w:rsidRPr="00480728" w:rsidRDefault="00EE6505" w:rsidP="00363C6C">
      <w:pPr>
        <w:pStyle w:val="NormalWeb"/>
        <w:spacing w:before="0" w:beforeAutospacing="0" w:after="0" w:afterAutospacing="0"/>
        <w:rPr>
          <w:rFonts w:ascii="Arial" w:hAnsi="Arial" w:cs="Arial"/>
          <w:sz w:val="20"/>
          <w:szCs w:val="20"/>
        </w:rPr>
      </w:pPr>
      <w:r w:rsidRPr="00480728">
        <w:rPr>
          <w:rFonts w:ascii="Arial" w:hAnsi="Arial" w:cs="Arial"/>
          <w:sz w:val="20"/>
          <w:szCs w:val="20"/>
        </w:rPr>
        <w:t xml:space="preserve">To learn more about the Financial Education for College Access and Success program, visit: </w:t>
      </w:r>
      <w:hyperlink r:id="rId17" w:history="1">
        <w:r w:rsidRPr="00480728">
          <w:rPr>
            <w:rStyle w:val="Hyperlink"/>
            <w:rFonts w:ascii="Arial" w:hAnsi="Arial" w:cs="Arial"/>
            <w:sz w:val="20"/>
            <w:szCs w:val="20"/>
          </w:rPr>
          <w:t>http://www2.ed.gov/programs/financialeducation/index.html</w:t>
        </w:r>
      </w:hyperlink>
    </w:p>
    <w:p w:rsidR="00EE6505" w:rsidRDefault="00EE6505" w:rsidP="00363C6C">
      <w:pPr>
        <w:rPr>
          <w:b/>
          <w:i/>
          <w:sz w:val="28"/>
          <w:szCs w:val="28"/>
        </w:rPr>
      </w:pPr>
    </w:p>
    <w:p w:rsidR="00EE6505" w:rsidRPr="001633B3" w:rsidRDefault="00EE6505" w:rsidP="00363C6C">
      <w:pPr>
        <w:rPr>
          <w:b/>
          <w:i/>
          <w:sz w:val="24"/>
          <w:szCs w:val="28"/>
        </w:rPr>
      </w:pPr>
      <w:r w:rsidRPr="001633B3">
        <w:rPr>
          <w:b/>
          <w:i/>
          <w:sz w:val="24"/>
          <w:szCs w:val="28"/>
        </w:rPr>
        <w:t>National Council of Economic Education</w:t>
      </w:r>
    </w:p>
    <w:p w:rsidR="00EE6505" w:rsidRPr="00632681" w:rsidRDefault="00EE6505" w:rsidP="00363C6C">
      <w:r w:rsidRPr="00632681">
        <w:t xml:space="preserve">The mission of the </w:t>
      </w:r>
      <w:r w:rsidRPr="00204479">
        <w:rPr>
          <w:u w:val="single"/>
        </w:rPr>
        <w:t>Council for Economic Education</w:t>
      </w:r>
      <w:r w:rsidRPr="00632681">
        <w:t xml:space="preserve"> is </w:t>
      </w:r>
      <w:r>
        <w:t>“t</w:t>
      </w:r>
      <w:r w:rsidRPr="00632681">
        <w:t xml:space="preserve">o advocate for better and greater school-based economic and personal finance education at the K-12 level and to educate young people in the United States and around the world, primarily through well-prepared teachers, so they may become empowered with </w:t>
      </w:r>
      <w:r>
        <w:t>economic and financial literacy”</w:t>
      </w:r>
      <w:r w:rsidRPr="00632681">
        <w:t xml:space="preserve"> </w:t>
      </w:r>
    </w:p>
    <w:p w:rsidR="00EE6505" w:rsidRDefault="00EE6505" w:rsidP="00363C6C"/>
    <w:p w:rsidR="00EE6505" w:rsidRPr="00632681" w:rsidRDefault="00EE6505" w:rsidP="00363C6C">
      <w:r>
        <w:t>“</w:t>
      </w:r>
      <w:r w:rsidRPr="00632681">
        <w:t>The Council for Economic Education offers many programs promoting economic literacy in the United States a</w:t>
      </w:r>
      <w:r>
        <w:t xml:space="preserve">nd across the globe. All of their </w:t>
      </w:r>
      <w:r w:rsidRPr="00632681">
        <w:t>programs fall into three core areas, Economics</w:t>
      </w:r>
      <w:r>
        <w:t xml:space="preserve"> </w:t>
      </w:r>
      <w:r w:rsidRPr="00632681">
        <w:t>America, Economics</w:t>
      </w:r>
      <w:r>
        <w:t xml:space="preserve"> </w:t>
      </w:r>
      <w:r w:rsidRPr="00632681">
        <w:t>International, and Economics</w:t>
      </w:r>
      <w:r>
        <w:t xml:space="preserve"> </w:t>
      </w:r>
      <w:r w:rsidRPr="00632681">
        <w:t xml:space="preserve">Exchange. </w:t>
      </w:r>
    </w:p>
    <w:p w:rsidR="00EE6505" w:rsidRDefault="00EE6505" w:rsidP="00363C6C">
      <w:pPr>
        <w:rPr>
          <w:u w:val="single"/>
        </w:rPr>
      </w:pPr>
    </w:p>
    <w:p w:rsidR="00EE6505" w:rsidRDefault="00EE6505" w:rsidP="00363C6C">
      <w:r w:rsidRPr="00632681">
        <w:rPr>
          <w:u w:val="single"/>
        </w:rPr>
        <w:t>Economics</w:t>
      </w:r>
      <w:r>
        <w:rPr>
          <w:u w:val="single"/>
        </w:rPr>
        <w:t xml:space="preserve"> </w:t>
      </w:r>
      <w:r w:rsidRPr="00632681">
        <w:rPr>
          <w:u w:val="single"/>
        </w:rPr>
        <w:t>America</w:t>
      </w:r>
      <w:r w:rsidRPr="00632681">
        <w:t xml:space="preserve"> is a comprehensive program which impacts and improves the quality of economic education in America's schools. Each year, through our nationwide Network and our Internet campus, the Council for Economic Education's standards-setting materials and resources are used by thousands of teachers to teach millions of students how the "real" world works before they go to work in it.</w:t>
      </w:r>
    </w:p>
    <w:p w:rsidR="00EE6505" w:rsidRPr="00632681" w:rsidRDefault="00EE6505" w:rsidP="00363C6C"/>
    <w:p w:rsidR="00EE6505" w:rsidRDefault="00EE6505" w:rsidP="00363C6C">
      <w:r w:rsidRPr="00632681">
        <w:rPr>
          <w:u w:val="single"/>
        </w:rPr>
        <w:t>Economics</w:t>
      </w:r>
      <w:r>
        <w:rPr>
          <w:u w:val="single"/>
        </w:rPr>
        <w:t xml:space="preserve"> </w:t>
      </w:r>
      <w:r w:rsidRPr="00632681">
        <w:rPr>
          <w:u w:val="single"/>
        </w:rPr>
        <w:t>International</w:t>
      </w:r>
      <w:r w:rsidRPr="00632681">
        <w:t xml:space="preserve"> , which is supported primarily by the U.S. Department of Education, provides educational assistance to teachers in societies in transition to market economies. The Council for Economic Education also brings back insights to help teach American students valuable lessons about the global economy. We currently serve 20 countries, reaching over 1.5 million students.</w:t>
      </w:r>
    </w:p>
    <w:p w:rsidR="00EE6505" w:rsidRPr="00632681" w:rsidRDefault="00EE6505" w:rsidP="00363C6C"/>
    <w:p w:rsidR="00EE6505" w:rsidRPr="00632681" w:rsidRDefault="00EE6505" w:rsidP="00363C6C">
      <w:r w:rsidRPr="00632681">
        <w:rPr>
          <w:u w:val="single"/>
        </w:rPr>
        <w:t>Economics</w:t>
      </w:r>
      <w:r>
        <w:rPr>
          <w:u w:val="single"/>
        </w:rPr>
        <w:t xml:space="preserve"> </w:t>
      </w:r>
      <w:r w:rsidRPr="00632681">
        <w:rPr>
          <w:u w:val="single"/>
        </w:rPr>
        <w:t>Exchange</w:t>
      </w:r>
      <w:r w:rsidRPr="00632681">
        <w:t xml:space="preserve"> is an "economics for life" program which reaches employees in the workplace, parents, and other adults with economic and personal finance skills they can use. Internet campus serves life-long learners everywhere — and its reach is growing</w:t>
      </w:r>
      <w:r>
        <w:t>”</w:t>
      </w:r>
      <w:r w:rsidRPr="00632681">
        <w:t xml:space="preserve">. </w:t>
      </w:r>
    </w:p>
    <w:p w:rsidR="00EE6505" w:rsidRPr="00632681" w:rsidRDefault="00EE6505" w:rsidP="00363C6C"/>
    <w:p w:rsidR="00EE6505" w:rsidRPr="00632681" w:rsidRDefault="004B199A" w:rsidP="00363C6C">
      <w:hyperlink r:id="rId18" w:history="1">
        <w:r w:rsidR="00EE6505" w:rsidRPr="00632681">
          <w:rPr>
            <w:rStyle w:val="Hyperlink"/>
            <w:rFonts w:cs="Arial"/>
          </w:rPr>
          <w:t>http://www.councilforeconed.org/about/</w:t>
        </w:r>
      </w:hyperlink>
    </w:p>
    <w:p w:rsidR="00EE6505" w:rsidRPr="00632681" w:rsidRDefault="00EE6505" w:rsidP="00363C6C">
      <w:pPr>
        <w:rPr>
          <w:b/>
          <w:u w:val="single"/>
        </w:rPr>
      </w:pPr>
    </w:p>
    <w:p w:rsidR="00EE6505" w:rsidRPr="00300BBE" w:rsidRDefault="00EE6505" w:rsidP="00363C6C">
      <w:pPr>
        <w:rPr>
          <w:color w:val="000080"/>
          <w:sz w:val="28"/>
          <w:szCs w:val="28"/>
        </w:rPr>
      </w:pPr>
      <w:r w:rsidRPr="00300BBE">
        <w:rPr>
          <w:b/>
          <w:color w:val="000080"/>
          <w:sz w:val="28"/>
          <w:szCs w:val="28"/>
          <w:u w:val="single"/>
        </w:rPr>
        <w:lastRenderedPageBreak/>
        <w:t>State</w:t>
      </w:r>
    </w:p>
    <w:p w:rsidR="00EE6505" w:rsidRPr="000909CC" w:rsidRDefault="00EE6505" w:rsidP="00363C6C">
      <w:pPr>
        <w:rPr>
          <w:sz w:val="24"/>
          <w:szCs w:val="24"/>
        </w:rPr>
      </w:pPr>
    </w:p>
    <w:p w:rsidR="00EE6505" w:rsidRDefault="00EE6505" w:rsidP="00363C6C">
      <w:pPr>
        <w:rPr>
          <w:b/>
          <w:i/>
          <w:sz w:val="24"/>
          <w:szCs w:val="28"/>
        </w:rPr>
      </w:pPr>
      <w:r w:rsidRPr="004E1D5D">
        <w:rPr>
          <w:b/>
          <w:i/>
          <w:sz w:val="24"/>
          <w:szCs w:val="28"/>
        </w:rPr>
        <w:t>Office of Economic Opportunity</w:t>
      </w:r>
    </w:p>
    <w:p w:rsidR="00EE6505" w:rsidRDefault="00EE6505" w:rsidP="00363C6C">
      <w:pPr>
        <w:rPr>
          <w:rStyle w:val="bodycontent"/>
          <w:rFonts w:cs="Arial"/>
        </w:rPr>
      </w:pPr>
      <w:r>
        <w:t xml:space="preserve">One of the </w:t>
      </w:r>
      <w:r w:rsidRPr="00880363">
        <w:rPr>
          <w:u w:val="single"/>
        </w:rPr>
        <w:t>Office of Economic Opportunity</w:t>
      </w:r>
      <w:r w:rsidRPr="00B42CC7">
        <w:t xml:space="preserve"> (OEO) </w:t>
      </w:r>
      <w:r>
        <w:t>programs is the t</w:t>
      </w:r>
      <w:r w:rsidRPr="00012A24">
        <w:t>he Family Assets for Independence</w:t>
      </w:r>
      <w:r>
        <w:t xml:space="preserve"> in Minnesota (FAIM) initiative, which </w:t>
      </w:r>
      <w:r w:rsidRPr="00012A24">
        <w:t xml:space="preserve">provides matched savings to low-wage workers to help them build assets. </w:t>
      </w:r>
      <w:r>
        <w:t>In addition to matched savings, FAIM p</w:t>
      </w:r>
      <w:r w:rsidRPr="00012A24">
        <w:t>articipants receive general financial management training as well as training tailored to their particular savings goal</w:t>
      </w:r>
      <w:r>
        <w:t xml:space="preserve">.  FAIM is a partnership between </w:t>
      </w:r>
      <w:r>
        <w:rPr>
          <w:rStyle w:val="bodycontent"/>
          <w:rFonts w:cs="Arial"/>
        </w:rPr>
        <w:t>local Community Action Agencies, the Minnesota Community Action Association, two Tribal Governments, Women Venture, United Way, U of M,  and the City-County Federal Credit Union. Match funding currently comes from the state and federal government (Assets for Independence). MN has the opportunity to leverage up to an additional $1M in federal match dollars. In addition to FAIM, OEO funds a number of other financial education programs, trainings and conferences, including the MN Financial Fitness Conference and CAFÉ conference.</w:t>
      </w:r>
    </w:p>
    <w:p w:rsidR="00EE6505" w:rsidRPr="000909CC" w:rsidRDefault="00EE6505" w:rsidP="00363C6C">
      <w:pPr>
        <w:rPr>
          <w:b/>
          <w:i/>
        </w:rPr>
      </w:pPr>
    </w:p>
    <w:p w:rsidR="00EE6505" w:rsidRDefault="004B199A" w:rsidP="00363C6C">
      <w:pPr>
        <w:rPr>
          <w:szCs w:val="28"/>
        </w:rPr>
      </w:pPr>
      <w:hyperlink r:id="rId19" w:history="1">
        <w:r w:rsidR="00EE6505" w:rsidRPr="00880363">
          <w:rPr>
            <w:rStyle w:val="Hyperlink"/>
            <w:rFonts w:cs="Arial"/>
            <w:szCs w:val="28"/>
          </w:rPr>
          <w:t>http://www.dhs.state.mn.us/main/idcplg?IdcService=GET_DYNAMIC_CONVERSION&amp;RevisionSelectionMethod=LatestReleased&amp;dDocName=id_002882#</w:t>
        </w:r>
      </w:hyperlink>
    </w:p>
    <w:p w:rsidR="00EE6505" w:rsidRPr="00880363" w:rsidRDefault="004B199A" w:rsidP="00363C6C">
      <w:pPr>
        <w:rPr>
          <w:szCs w:val="28"/>
        </w:rPr>
      </w:pPr>
      <w:hyperlink r:id="rId20" w:history="1">
        <w:r w:rsidR="00EE6505" w:rsidRPr="000909CC">
          <w:rPr>
            <w:rStyle w:val="Hyperlink"/>
            <w:rFonts w:cs="Arial"/>
            <w:szCs w:val="28"/>
          </w:rPr>
          <w:t>http://www.minnesotafaim.org/</w:t>
        </w:r>
      </w:hyperlink>
    </w:p>
    <w:p w:rsidR="00EE6505" w:rsidRPr="004E1D5D" w:rsidRDefault="00EE6505" w:rsidP="00363C6C">
      <w:pPr>
        <w:rPr>
          <w:b/>
          <w:i/>
          <w:sz w:val="24"/>
          <w:szCs w:val="28"/>
        </w:rPr>
      </w:pPr>
    </w:p>
    <w:p w:rsidR="00EE6505" w:rsidRPr="00300BBE" w:rsidRDefault="00EE6505" w:rsidP="00363C6C">
      <w:pPr>
        <w:rPr>
          <w:b/>
          <w:i/>
          <w:sz w:val="24"/>
          <w:szCs w:val="28"/>
        </w:rPr>
      </w:pPr>
      <w:r w:rsidRPr="00300BBE">
        <w:rPr>
          <w:b/>
          <w:i/>
          <w:sz w:val="24"/>
          <w:szCs w:val="28"/>
        </w:rPr>
        <w:t>Foundations and United Ways</w:t>
      </w:r>
    </w:p>
    <w:p w:rsidR="00EE6505" w:rsidRPr="00300BBE" w:rsidRDefault="00EE6505" w:rsidP="00363C6C">
      <w:r>
        <w:t>Many local United Ways invest in financial education and IDAs, foundations tied to financial institutions, and McKnight – a significant funder in this area till recently (current grants end 12/31/11.</w:t>
      </w:r>
    </w:p>
    <w:p w:rsidR="00EE6505" w:rsidRPr="004E1D5D" w:rsidRDefault="00EE6505" w:rsidP="00363C6C">
      <w:pPr>
        <w:rPr>
          <w:b/>
          <w:i/>
          <w:sz w:val="24"/>
          <w:szCs w:val="28"/>
        </w:rPr>
      </w:pPr>
    </w:p>
    <w:p w:rsidR="00EE6505" w:rsidRPr="004E1D5D" w:rsidRDefault="00EE6505" w:rsidP="00363C6C">
      <w:pPr>
        <w:rPr>
          <w:b/>
          <w:i/>
          <w:sz w:val="24"/>
          <w:szCs w:val="28"/>
        </w:rPr>
      </w:pPr>
      <w:r w:rsidRPr="004E1D5D">
        <w:rPr>
          <w:b/>
          <w:i/>
          <w:sz w:val="24"/>
          <w:szCs w:val="28"/>
        </w:rPr>
        <w:t>Lutheran Social Services, Financial Services</w:t>
      </w:r>
    </w:p>
    <w:p w:rsidR="00EE6505" w:rsidRPr="004328E9" w:rsidRDefault="00EE6505" w:rsidP="00363C6C">
      <w:pPr>
        <w:rPr>
          <w:szCs w:val="28"/>
        </w:rPr>
      </w:pPr>
      <w:r w:rsidRPr="00817E86">
        <w:rPr>
          <w:szCs w:val="28"/>
          <w:u w:val="single"/>
        </w:rPr>
        <w:t>Lutheran Social Services</w:t>
      </w:r>
      <w:r>
        <w:rPr>
          <w:szCs w:val="28"/>
        </w:rPr>
        <w:t xml:space="preserve"> provides financial services through their </w:t>
      </w:r>
      <w:r w:rsidRPr="00817E86">
        <w:rPr>
          <w:szCs w:val="28"/>
          <w:u w:val="single"/>
        </w:rPr>
        <w:t>Consumer Credit Counseling Program</w:t>
      </w:r>
      <w:r>
        <w:rPr>
          <w:szCs w:val="28"/>
        </w:rPr>
        <w:t xml:space="preserve">.  Services include budget counseling, debt and credit help, housing counseling, financial education and bankruptcy services.  Services are provided in-person (locations throughout the state), online and over the phone. Train the trainer workshops are also provided through their  financial education program. </w:t>
      </w:r>
      <w:r w:rsidRPr="004328E9">
        <w:rPr>
          <w:szCs w:val="28"/>
        </w:rPr>
        <w:t xml:space="preserve">They </w:t>
      </w:r>
      <w:r w:rsidRPr="004328E9">
        <w:t>are a member agency of the National Foundation for Credit Counseling (NFCC), which is highly highly recognized within the industry and by creditors for its trademarked Counselor Certification Program.</w:t>
      </w:r>
    </w:p>
    <w:p w:rsidR="00EE6505" w:rsidRPr="004328E9" w:rsidRDefault="00EE6505" w:rsidP="00363C6C">
      <w:pPr>
        <w:rPr>
          <w:szCs w:val="28"/>
        </w:rPr>
      </w:pPr>
      <w:r w:rsidRPr="004328E9">
        <w:rPr>
          <w:szCs w:val="28"/>
        </w:rPr>
        <w:t xml:space="preserve"> </w:t>
      </w:r>
    </w:p>
    <w:p w:rsidR="00EE6505" w:rsidRPr="00175676" w:rsidRDefault="004B199A" w:rsidP="00363C6C">
      <w:pPr>
        <w:rPr>
          <w:szCs w:val="28"/>
        </w:rPr>
      </w:pPr>
      <w:hyperlink r:id="rId21" w:history="1">
        <w:r w:rsidR="00EE6505" w:rsidRPr="007D5F4C">
          <w:rPr>
            <w:rStyle w:val="Hyperlink"/>
            <w:rFonts w:cs="Arial"/>
            <w:szCs w:val="28"/>
          </w:rPr>
          <w:t>http://www.lssmn.org/debt/</w:t>
        </w:r>
      </w:hyperlink>
    </w:p>
    <w:p w:rsidR="00EE6505" w:rsidRPr="004E1D5D" w:rsidRDefault="00EE6505" w:rsidP="00363C6C">
      <w:pPr>
        <w:rPr>
          <w:b/>
          <w:i/>
          <w:sz w:val="24"/>
          <w:szCs w:val="28"/>
        </w:rPr>
      </w:pPr>
      <w:r>
        <w:rPr>
          <w:b/>
          <w:i/>
          <w:sz w:val="24"/>
          <w:szCs w:val="28"/>
        </w:rPr>
        <w:t>Financial Planning Association (FPA) of Minnesota</w:t>
      </w:r>
      <w:r w:rsidRPr="004E1D5D">
        <w:rPr>
          <w:b/>
          <w:i/>
          <w:sz w:val="24"/>
          <w:szCs w:val="28"/>
        </w:rPr>
        <w:t xml:space="preserve"> and Private Sector Companies</w:t>
      </w:r>
    </w:p>
    <w:p w:rsidR="00EE6505" w:rsidRPr="00817E86" w:rsidRDefault="00EE6505" w:rsidP="00363C6C">
      <w:pPr>
        <w:rPr>
          <w:i/>
          <w:u w:val="single"/>
        </w:rPr>
      </w:pPr>
      <w:r w:rsidRPr="00817E86">
        <w:rPr>
          <w:i/>
          <w:u w:val="single"/>
        </w:rPr>
        <w:t>Financial Planning Association</w:t>
      </w:r>
    </w:p>
    <w:p w:rsidR="00EE6505" w:rsidRPr="00521A1F" w:rsidRDefault="00EE6505" w:rsidP="00363C6C">
      <w:r w:rsidRPr="00521A1F">
        <w:t>“The primary aim of the FPA is to be the community that fosters the value of financial planning and advances the financial planning profession”. The FPA is the professional membership association for certified financial planner, financial planners, specialists and organizations dedicated to advancing the financial planning process. FPA of Minnesota has over 780 members.</w:t>
      </w:r>
    </w:p>
    <w:p w:rsidR="00EE6505" w:rsidRDefault="00EE6505" w:rsidP="00363C6C">
      <w:r w:rsidRPr="00521A1F">
        <w:t>FPA provides information to consumers through its website, as well as pro bono financial planning services to low income individuals and families and people referred through FPA’s nonprofit partners.  FPAs partners include Perspectives, Accountability Minnesota, Minnesota Family Formation Project, Red Cross, and all branches of the deployed military</w:t>
      </w:r>
      <w:r>
        <w:t>.</w:t>
      </w:r>
    </w:p>
    <w:p w:rsidR="00EE6505" w:rsidRDefault="00EE6505" w:rsidP="00363C6C"/>
    <w:p w:rsidR="00EE6505" w:rsidRPr="00521A1F" w:rsidRDefault="004B199A" w:rsidP="00363C6C">
      <w:hyperlink r:id="rId22" w:history="1">
        <w:r w:rsidR="00EE6505" w:rsidRPr="0063248E">
          <w:rPr>
            <w:rStyle w:val="Hyperlink"/>
            <w:rFonts w:cs="Arial"/>
          </w:rPr>
          <w:t>http://www.fpamn.org/index.html</w:t>
        </w:r>
      </w:hyperlink>
    </w:p>
    <w:p w:rsidR="00EE6505" w:rsidRPr="004E1D5D" w:rsidRDefault="00EE6505" w:rsidP="00363C6C">
      <w:pPr>
        <w:rPr>
          <w:b/>
          <w:i/>
          <w:sz w:val="24"/>
          <w:szCs w:val="28"/>
        </w:rPr>
      </w:pPr>
    </w:p>
    <w:p w:rsidR="00EE6505" w:rsidRPr="004E1D5D" w:rsidRDefault="00EE6505" w:rsidP="00363C6C">
      <w:pPr>
        <w:rPr>
          <w:b/>
          <w:i/>
          <w:sz w:val="24"/>
          <w:szCs w:val="28"/>
        </w:rPr>
      </w:pPr>
      <w:r w:rsidRPr="004E1D5D">
        <w:rPr>
          <w:b/>
          <w:i/>
          <w:sz w:val="24"/>
          <w:szCs w:val="28"/>
        </w:rPr>
        <w:t>U</w:t>
      </w:r>
      <w:r>
        <w:rPr>
          <w:b/>
          <w:i/>
          <w:sz w:val="24"/>
          <w:szCs w:val="28"/>
        </w:rPr>
        <w:t xml:space="preserve">niversity of </w:t>
      </w:r>
      <w:r w:rsidRPr="004E1D5D">
        <w:rPr>
          <w:b/>
          <w:i/>
          <w:sz w:val="24"/>
          <w:szCs w:val="28"/>
        </w:rPr>
        <w:t>M</w:t>
      </w:r>
      <w:r>
        <w:rPr>
          <w:b/>
          <w:i/>
          <w:sz w:val="24"/>
          <w:szCs w:val="28"/>
        </w:rPr>
        <w:t>innesota</w:t>
      </w:r>
      <w:r w:rsidRPr="004E1D5D">
        <w:rPr>
          <w:b/>
          <w:i/>
          <w:sz w:val="24"/>
          <w:szCs w:val="28"/>
        </w:rPr>
        <w:t xml:space="preserve"> Extension</w:t>
      </w:r>
    </w:p>
    <w:p w:rsidR="00EE6505" w:rsidRPr="009A1FA4" w:rsidRDefault="00EE6505" w:rsidP="00363C6C">
      <w:r w:rsidRPr="009A1FA4">
        <w:t>UMN</w:t>
      </w:r>
      <w:r>
        <w:t xml:space="preserve"> Extension provides financial education resources and training through four different Family </w:t>
      </w:r>
      <w:r w:rsidRPr="009A1FA4">
        <w:t xml:space="preserve">Resource Management programs: </w:t>
      </w:r>
    </w:p>
    <w:p w:rsidR="00EE6505" w:rsidRDefault="004B199A" w:rsidP="000921A8">
      <w:pPr>
        <w:numPr>
          <w:ilvl w:val="1"/>
          <w:numId w:val="13"/>
        </w:numPr>
        <w:ind w:left="605"/>
      </w:pPr>
      <w:hyperlink r:id="rId23" w:history="1">
        <w:r w:rsidR="00EE6505" w:rsidRPr="00F10DC2">
          <w:rPr>
            <w:rStyle w:val="Hyperlink"/>
            <w:rFonts w:cs="Arial"/>
            <w:i/>
          </w:rPr>
          <w:t>Financial Security in Later Life</w:t>
        </w:r>
      </w:hyperlink>
      <w:r w:rsidR="00EE6505">
        <w:t>:</w:t>
      </w:r>
      <w:r w:rsidR="00EE6505" w:rsidRPr="00F10DC2">
        <w:t xml:space="preserve"> o</w:t>
      </w:r>
      <w:r w:rsidR="00EE6505" w:rsidRPr="00F10DC2">
        <w:rPr>
          <w:rStyle w:val="grey1"/>
          <w:rFonts w:cs="Arial"/>
        </w:rPr>
        <w:t>ffers on-your-own and worksite education to protect your financial security</w:t>
      </w:r>
    </w:p>
    <w:p w:rsidR="00EE6505" w:rsidRPr="000921A8" w:rsidRDefault="004B199A" w:rsidP="000921A8">
      <w:pPr>
        <w:numPr>
          <w:ilvl w:val="1"/>
          <w:numId w:val="13"/>
        </w:numPr>
        <w:ind w:left="605"/>
        <w:rPr>
          <w:rStyle w:val="grey1"/>
          <w:rFonts w:cs="Arial"/>
          <w:color w:val="auto"/>
        </w:rPr>
      </w:pPr>
      <w:hyperlink r:id="rId24" w:history="1">
        <w:r w:rsidR="00EE6505" w:rsidRPr="00F10DC2">
          <w:rPr>
            <w:rStyle w:val="Hyperlink"/>
            <w:rFonts w:cs="Arial"/>
            <w:i/>
          </w:rPr>
          <w:t>Latino and East African Financial Literacy</w:t>
        </w:r>
      </w:hyperlink>
      <w:r w:rsidR="00EE6505">
        <w:t xml:space="preserve">: </w:t>
      </w:r>
      <w:r w:rsidR="00EE6505">
        <w:rPr>
          <w:rStyle w:val="grey1"/>
          <w:rFonts w:cs="Arial"/>
        </w:rPr>
        <w:t>p</w:t>
      </w:r>
      <w:r w:rsidR="00EE6505" w:rsidRPr="00F10DC2">
        <w:rPr>
          <w:rStyle w:val="grey1"/>
          <w:rFonts w:cs="Arial"/>
        </w:rPr>
        <w:t xml:space="preserve">rovides answers and helps Latino and East African families navigate the systems related to financial literacy, housing, and higher </w:t>
      </w:r>
    </w:p>
    <w:p w:rsidR="00EE6505" w:rsidRPr="00F10DC2" w:rsidRDefault="00EE6505" w:rsidP="000921A8">
      <w:pPr>
        <w:ind w:left="965" w:firstLine="475"/>
      </w:pPr>
      <w:r w:rsidRPr="00F10DC2">
        <w:rPr>
          <w:rStyle w:val="grey1"/>
          <w:rFonts w:cs="Arial"/>
        </w:rPr>
        <w:t>education</w:t>
      </w:r>
    </w:p>
    <w:p w:rsidR="00EE6505" w:rsidRPr="00F10DC2" w:rsidRDefault="004B199A" w:rsidP="00363C6C">
      <w:pPr>
        <w:numPr>
          <w:ilvl w:val="1"/>
          <w:numId w:val="13"/>
        </w:numPr>
        <w:ind w:left="605"/>
      </w:pPr>
      <w:hyperlink r:id="rId25" w:history="1">
        <w:r w:rsidR="00EE6505" w:rsidRPr="00F10DC2">
          <w:rPr>
            <w:rStyle w:val="Hyperlink"/>
            <w:rFonts w:cs="Arial"/>
            <w:i/>
          </w:rPr>
          <w:t>Resource Management for Daily Life</w:t>
        </w:r>
      </w:hyperlink>
      <w:r w:rsidR="00EE6505">
        <w:t>:</w:t>
      </w:r>
      <w:r w:rsidR="00EE6505" w:rsidRPr="00F10DC2">
        <w:t xml:space="preserve"> </w:t>
      </w:r>
      <w:r w:rsidR="00EE6505">
        <w:t>b</w:t>
      </w:r>
      <w:r w:rsidR="00EE6505" w:rsidRPr="00F10DC2">
        <w:rPr>
          <w:rStyle w:val="grey1"/>
          <w:rFonts w:cs="Arial"/>
        </w:rPr>
        <w:t>uilds personal resource management skills through decision-based education like Dollar Works 2</w:t>
      </w:r>
    </w:p>
    <w:p w:rsidR="00EE6505" w:rsidRPr="00F10DC2" w:rsidRDefault="004B199A" w:rsidP="00363C6C">
      <w:pPr>
        <w:numPr>
          <w:ilvl w:val="1"/>
          <w:numId w:val="13"/>
        </w:numPr>
        <w:ind w:left="605"/>
      </w:pPr>
      <w:hyperlink r:id="rId26" w:history="1">
        <w:r w:rsidR="00EE6505" w:rsidRPr="00F10DC2">
          <w:rPr>
            <w:rStyle w:val="Hyperlink"/>
            <w:rFonts w:cs="Arial"/>
            <w:i/>
          </w:rPr>
          <w:t>Youth &amp; Money</w:t>
        </w:r>
      </w:hyperlink>
      <w:r w:rsidR="00EE6505">
        <w:t>:</w:t>
      </w:r>
      <w:r w:rsidR="00EE6505" w:rsidRPr="00F10DC2">
        <w:t xml:space="preserve"> </w:t>
      </w:r>
      <w:r w:rsidR="00EE6505">
        <w:t>p</w:t>
      </w:r>
      <w:r w:rsidR="00EE6505" w:rsidRPr="00F10DC2">
        <w:rPr>
          <w:rStyle w:val="grey1"/>
          <w:rFonts w:cs="Arial"/>
        </w:rPr>
        <w:t>rovides resource management training to high school and college-age youth</w:t>
      </w:r>
    </w:p>
    <w:p w:rsidR="00EE6505" w:rsidRDefault="00EE6505" w:rsidP="00363C6C">
      <w:pPr>
        <w:ind w:left="600"/>
      </w:pPr>
    </w:p>
    <w:p w:rsidR="00EE6505" w:rsidRDefault="004B199A" w:rsidP="00363C6C">
      <w:hyperlink r:id="rId27" w:history="1">
        <w:r w:rsidR="00EE6505" w:rsidRPr="009A1FA4">
          <w:rPr>
            <w:rStyle w:val="Hyperlink"/>
            <w:rFonts w:cs="Arial"/>
          </w:rPr>
          <w:t>http://www.extension.umn.edu/Family/</w:t>
        </w:r>
      </w:hyperlink>
    </w:p>
    <w:p w:rsidR="00EE6505" w:rsidRPr="009A1FA4" w:rsidRDefault="00EE6505" w:rsidP="00363C6C">
      <w:pPr>
        <w:ind w:left="600"/>
      </w:pPr>
    </w:p>
    <w:p w:rsidR="00EE6505" w:rsidRDefault="00EE6505" w:rsidP="00363C6C">
      <w:pPr>
        <w:rPr>
          <w:b/>
          <w:i/>
          <w:sz w:val="24"/>
          <w:szCs w:val="28"/>
        </w:rPr>
      </w:pPr>
      <w:r w:rsidRPr="00B42CC7">
        <w:rPr>
          <w:b/>
          <w:i/>
          <w:sz w:val="24"/>
          <w:szCs w:val="28"/>
        </w:rPr>
        <w:t>University of Minnesota</w:t>
      </w:r>
    </w:p>
    <w:p w:rsidR="00EE6505" w:rsidRPr="009D1734" w:rsidRDefault="00EE6505" w:rsidP="00363C6C">
      <w:r>
        <w:t>Teaches personal finance, heads the evaluation for MN’s statewide FAIM program, and currently developing an online Financial Educator Certification program for current Human Service’s staff, teachers in training, and Masters of Social Work students.</w:t>
      </w:r>
    </w:p>
    <w:p w:rsidR="00EE6505" w:rsidRPr="004E1D5D" w:rsidRDefault="00EE6505" w:rsidP="00363C6C">
      <w:pPr>
        <w:rPr>
          <w:b/>
          <w:i/>
          <w:sz w:val="24"/>
          <w:szCs w:val="28"/>
        </w:rPr>
      </w:pPr>
    </w:p>
    <w:p w:rsidR="00EE6505" w:rsidRPr="004E1D5D" w:rsidRDefault="00EE6505" w:rsidP="00363C6C">
      <w:pPr>
        <w:rPr>
          <w:b/>
          <w:i/>
          <w:sz w:val="24"/>
          <w:szCs w:val="28"/>
        </w:rPr>
      </w:pPr>
      <w:r w:rsidRPr="004E1D5D">
        <w:rPr>
          <w:b/>
          <w:i/>
          <w:sz w:val="24"/>
          <w:szCs w:val="28"/>
        </w:rPr>
        <w:t>Greater Twin Cities United Way</w:t>
      </w:r>
    </w:p>
    <w:p w:rsidR="00EE6505" w:rsidRPr="00706934" w:rsidRDefault="00EE6505" w:rsidP="00363C6C">
      <w:pPr>
        <w:rPr>
          <w:bCs/>
        </w:rPr>
      </w:pPr>
      <w:r w:rsidRPr="00817E86">
        <w:rPr>
          <w:szCs w:val="18"/>
          <w:u w:val="single"/>
        </w:rPr>
        <w:t>Greater Twin Cities United Way</w:t>
      </w:r>
      <w:r w:rsidRPr="00706934">
        <w:rPr>
          <w:i/>
          <w:szCs w:val="18"/>
        </w:rPr>
        <w:t xml:space="preserve"> </w:t>
      </w:r>
      <w:r w:rsidRPr="00706934">
        <w:rPr>
          <w:szCs w:val="18"/>
        </w:rPr>
        <w:t xml:space="preserve">funds the integration of financial education classes into job training programs, providing participants with the necessary skills to get ahead.  Additionally, the GTCUW started Claim It!, a community-wide partnership </w:t>
      </w:r>
      <w:r w:rsidRPr="00706934">
        <w:rPr>
          <w:bCs/>
        </w:rPr>
        <w:t xml:space="preserve">that </w:t>
      </w:r>
      <w:r w:rsidRPr="00706934">
        <w:t>promotes the use of the Earned Income Tax Credit (EITC) and Minnesota’s Working Family Credit (WFC), and free tax preparation for Minnesota families.</w:t>
      </w:r>
    </w:p>
    <w:p w:rsidR="00EE6505" w:rsidRDefault="00EE6505" w:rsidP="00363C6C"/>
    <w:p w:rsidR="00EE6505" w:rsidRPr="00706934" w:rsidRDefault="004B199A" w:rsidP="00363C6C">
      <w:hyperlink r:id="rId28" w:history="1">
        <w:r w:rsidR="00EE6505" w:rsidRPr="00706934">
          <w:rPr>
            <w:rStyle w:val="Hyperlink"/>
            <w:rFonts w:cs="Arial"/>
          </w:rPr>
          <w:t>http://www.unitedwaytwincities.org/ourimpact/increase_earnings.cfm</w:t>
        </w:r>
      </w:hyperlink>
    </w:p>
    <w:p w:rsidR="00EE6505" w:rsidRPr="004E1D5D" w:rsidRDefault="00EE6505" w:rsidP="00363C6C">
      <w:pPr>
        <w:rPr>
          <w:b/>
          <w:i/>
          <w:sz w:val="24"/>
          <w:szCs w:val="28"/>
        </w:rPr>
      </w:pPr>
      <w:r>
        <w:rPr>
          <w:b/>
          <w:i/>
          <w:sz w:val="24"/>
          <w:szCs w:val="28"/>
        </w:rPr>
        <w:t>/</w:t>
      </w:r>
    </w:p>
    <w:p w:rsidR="00EE6505" w:rsidRPr="004E1D5D" w:rsidRDefault="00EE6505" w:rsidP="00363C6C">
      <w:pPr>
        <w:rPr>
          <w:b/>
          <w:i/>
          <w:sz w:val="24"/>
          <w:szCs w:val="28"/>
        </w:rPr>
      </w:pPr>
      <w:r>
        <w:rPr>
          <w:b/>
          <w:i/>
          <w:sz w:val="24"/>
          <w:szCs w:val="28"/>
        </w:rPr>
        <w:t>Minnesota Jump$</w:t>
      </w:r>
      <w:r w:rsidRPr="004E1D5D">
        <w:rPr>
          <w:b/>
          <w:i/>
          <w:sz w:val="24"/>
          <w:szCs w:val="28"/>
        </w:rPr>
        <w:t>tart</w:t>
      </w:r>
      <w:r>
        <w:rPr>
          <w:b/>
          <w:i/>
          <w:sz w:val="24"/>
          <w:szCs w:val="28"/>
        </w:rPr>
        <w:t xml:space="preserve"> Coalition </w:t>
      </w:r>
    </w:p>
    <w:p w:rsidR="00EE6505" w:rsidRDefault="00EE6505" w:rsidP="00363C6C">
      <w:r>
        <w:t xml:space="preserve">The </w:t>
      </w:r>
      <w:r w:rsidRPr="00817E86">
        <w:rPr>
          <w:u w:val="single"/>
        </w:rPr>
        <w:t>Minnesota Jump$tart Coalition</w:t>
      </w:r>
      <w:r w:rsidRPr="00A02337">
        <w:t xml:space="preserve"> </w:t>
      </w:r>
      <w:r>
        <w:t xml:space="preserve">is part of the Washington D.C. based Jump$tart Coalition </w:t>
      </w:r>
      <w:r w:rsidRPr="00A02337">
        <w:t>for Personal Financial Literacy</w:t>
      </w:r>
      <w:r>
        <w:t>. MN Jump$tart includes individual participants as well as representatives from government agencies, businesses, and nonprofit organizations who “work together to improve the personal financial literacy of Minnesota's youth.”</w:t>
      </w:r>
    </w:p>
    <w:p w:rsidR="00EE6505" w:rsidRDefault="00EE6505" w:rsidP="00363C6C"/>
    <w:p w:rsidR="00EE6505" w:rsidRDefault="00EE6505" w:rsidP="00363C6C">
      <w:r>
        <w:t>The MN coalition holds meetings of its board, members, and sponsors as well as participates in public events related to its financial literacy mission. The Coalition also pursues its mission through various and changing projects and initiatives implemented by ad hoc working groups.</w:t>
      </w:r>
    </w:p>
    <w:p w:rsidR="00EE6505" w:rsidRDefault="00EE6505" w:rsidP="00363C6C"/>
    <w:p w:rsidR="00EE6505" w:rsidRPr="00A02337" w:rsidRDefault="004B199A" w:rsidP="00363C6C">
      <w:hyperlink r:id="rId29" w:history="1">
        <w:r w:rsidR="00EE6505" w:rsidRPr="00886D91">
          <w:rPr>
            <w:rStyle w:val="Hyperlink"/>
            <w:rFonts w:cs="Arial"/>
          </w:rPr>
          <w:t>http://www.jumpstart.org/states-minnesota.html</w:t>
        </w:r>
      </w:hyperlink>
    </w:p>
    <w:p w:rsidR="00EE6505" w:rsidRPr="004E1D5D" w:rsidRDefault="00EE6505" w:rsidP="00363C6C">
      <w:pPr>
        <w:rPr>
          <w:b/>
          <w:i/>
          <w:sz w:val="24"/>
          <w:szCs w:val="28"/>
        </w:rPr>
      </w:pPr>
      <w:r w:rsidRPr="004E1D5D">
        <w:rPr>
          <w:b/>
          <w:i/>
          <w:sz w:val="24"/>
          <w:szCs w:val="28"/>
        </w:rPr>
        <w:t>Junior Achievement</w:t>
      </w:r>
    </w:p>
    <w:p w:rsidR="00EE6505" w:rsidRDefault="00EE6505" w:rsidP="00363C6C">
      <w:r w:rsidRPr="00817E86">
        <w:rPr>
          <w:u w:val="single"/>
        </w:rPr>
        <w:t>Junior Achievement</w:t>
      </w:r>
      <w:r>
        <w:t xml:space="preserve"> is a worldwide organization</w:t>
      </w:r>
      <w:r w:rsidRPr="009B7805">
        <w:t xml:space="preserve"> “dedicated to educating students about workforce readiness, entrepreneurship and financial literacy through experiential, hands-on programs</w:t>
      </w:r>
      <w:r>
        <w:t xml:space="preserve">”.  </w:t>
      </w:r>
      <w:r w:rsidRPr="00817E86">
        <w:rPr>
          <w:u w:val="single"/>
        </w:rPr>
        <w:t>Junior Achievement of the Upper Midwest (JAUM)</w:t>
      </w:r>
      <w:r>
        <w:t xml:space="preserve"> provides financial education through programs in elementary, middle and high school classrooms, capstone projects and summer camps.</w:t>
      </w:r>
    </w:p>
    <w:p w:rsidR="00EE6505" w:rsidRDefault="00EE6505" w:rsidP="00363C6C"/>
    <w:p w:rsidR="00EE6505" w:rsidRDefault="004B199A" w:rsidP="00363C6C">
      <w:hyperlink r:id="rId30" w:history="1">
        <w:r w:rsidR="00EE6505" w:rsidRPr="009B7805">
          <w:rPr>
            <w:rStyle w:val="Hyperlink"/>
            <w:rFonts w:cs="Arial"/>
          </w:rPr>
          <w:t>http://www.jaum.org/</w:t>
        </w:r>
      </w:hyperlink>
    </w:p>
    <w:p w:rsidR="00EE6505" w:rsidRPr="004E1D5D" w:rsidRDefault="00EE6505" w:rsidP="00363C6C">
      <w:pPr>
        <w:rPr>
          <w:b/>
          <w:i/>
          <w:sz w:val="24"/>
          <w:szCs w:val="28"/>
        </w:rPr>
      </w:pPr>
    </w:p>
    <w:p w:rsidR="00EE6505" w:rsidRPr="00B42CC7" w:rsidRDefault="00EE6505" w:rsidP="00363C6C">
      <w:pPr>
        <w:rPr>
          <w:b/>
          <w:i/>
          <w:sz w:val="24"/>
          <w:szCs w:val="28"/>
        </w:rPr>
      </w:pPr>
      <w:r w:rsidRPr="00B42CC7">
        <w:rPr>
          <w:b/>
          <w:i/>
          <w:sz w:val="24"/>
          <w:szCs w:val="28"/>
        </w:rPr>
        <w:t>MN Department of Education</w:t>
      </w:r>
    </w:p>
    <w:p w:rsidR="00EE6505" w:rsidRPr="00B42CC7" w:rsidRDefault="00EE6505" w:rsidP="00363C6C">
      <w:r>
        <w:t>Determines the curriculum standards for k-12 schools, including the social study standards that are currently being updated.</w:t>
      </w:r>
    </w:p>
    <w:p w:rsidR="00EE6505" w:rsidRDefault="00EE6505" w:rsidP="00363C6C">
      <w:pPr>
        <w:rPr>
          <w:b/>
          <w:i/>
          <w:sz w:val="24"/>
          <w:szCs w:val="28"/>
        </w:rPr>
      </w:pPr>
    </w:p>
    <w:p w:rsidR="00EE6505" w:rsidRDefault="00EE6505" w:rsidP="00363C6C">
      <w:pPr>
        <w:rPr>
          <w:b/>
          <w:i/>
          <w:sz w:val="24"/>
          <w:szCs w:val="28"/>
        </w:rPr>
      </w:pPr>
      <w:r w:rsidRPr="004E1D5D">
        <w:rPr>
          <w:b/>
          <w:i/>
          <w:sz w:val="24"/>
          <w:szCs w:val="28"/>
        </w:rPr>
        <w:t>MN Council of Economic Education</w:t>
      </w:r>
    </w:p>
    <w:p w:rsidR="00EE6505" w:rsidRDefault="00EE6505" w:rsidP="00363C6C">
      <w:r>
        <w:t xml:space="preserve">The mission of the </w:t>
      </w:r>
      <w:r w:rsidRPr="00817E86">
        <w:rPr>
          <w:u w:val="single"/>
        </w:rPr>
        <w:t>Minnesota Council on Economic Education (MCEE)</w:t>
      </w:r>
      <w:r>
        <w:t xml:space="preserve"> is to provide Minnesotans with the economic and personal financial understanding they need to function effectively in a complex, global environment. They develop and conduct teacher and community education programs using existing organizations and networks.  The Minnesota Council's programs are delivered though a network of University-affiliated Centers for Economic Education located at Minnesota State University-Mankato, Minnesota State University-Moorhead, St. Cloud State University, the University of Minnesota-Duluth, the University of Minnesota-St. Paul and the University of St. Thomas.</w:t>
      </w:r>
    </w:p>
    <w:p w:rsidR="00EE6505" w:rsidRDefault="00EE6505" w:rsidP="00363C6C"/>
    <w:p w:rsidR="00EE6505" w:rsidRPr="00CA654F" w:rsidRDefault="004B199A" w:rsidP="00363C6C">
      <w:hyperlink r:id="rId31" w:history="1">
        <w:r w:rsidR="00EE6505" w:rsidRPr="00CA654F">
          <w:rPr>
            <w:rStyle w:val="Hyperlink"/>
            <w:rFonts w:cs="Arial"/>
          </w:rPr>
          <w:t>http://www.mcee.umn.edu/index.html</w:t>
        </w:r>
      </w:hyperlink>
    </w:p>
    <w:p w:rsidR="00EE6505" w:rsidRDefault="00EE6505" w:rsidP="00363C6C">
      <w:pPr>
        <w:rPr>
          <w:sz w:val="28"/>
          <w:szCs w:val="28"/>
        </w:rPr>
      </w:pPr>
    </w:p>
    <w:p w:rsidR="00EE6505" w:rsidRPr="00B50DD6" w:rsidRDefault="00EE6505" w:rsidP="00363C6C">
      <w:pPr>
        <w:rPr>
          <w:b/>
          <w:i/>
          <w:sz w:val="24"/>
          <w:szCs w:val="24"/>
        </w:rPr>
      </w:pPr>
      <w:r w:rsidRPr="00B50DD6">
        <w:rPr>
          <w:b/>
          <w:i/>
          <w:sz w:val="24"/>
          <w:szCs w:val="24"/>
        </w:rPr>
        <w:t>Family Assets for Independence in MN (see OEO)</w:t>
      </w:r>
    </w:p>
    <w:p w:rsidR="00EE6505" w:rsidRDefault="00EE6505" w:rsidP="00363C6C">
      <w:pPr>
        <w:rPr>
          <w:i/>
          <w:sz w:val="24"/>
          <w:szCs w:val="24"/>
        </w:rPr>
      </w:pPr>
    </w:p>
    <w:p w:rsidR="00EE6505" w:rsidRPr="00300BBE" w:rsidRDefault="00EE6505" w:rsidP="00363C6C">
      <w:pPr>
        <w:rPr>
          <w:b/>
          <w:color w:val="000080"/>
          <w:sz w:val="28"/>
          <w:szCs w:val="28"/>
          <w:u w:val="single"/>
        </w:rPr>
      </w:pPr>
      <w:r w:rsidRPr="00300BBE">
        <w:rPr>
          <w:b/>
          <w:color w:val="000080"/>
          <w:sz w:val="28"/>
          <w:szCs w:val="28"/>
          <w:u w:val="single"/>
        </w:rPr>
        <w:t>Local/Regional</w:t>
      </w:r>
    </w:p>
    <w:p w:rsidR="00EE6505" w:rsidRDefault="00EE6505" w:rsidP="00363C6C">
      <w:pPr>
        <w:rPr>
          <w:b/>
          <w:i/>
          <w:sz w:val="24"/>
          <w:szCs w:val="24"/>
        </w:rPr>
      </w:pPr>
      <w:r w:rsidRPr="00B50DD6">
        <w:rPr>
          <w:b/>
          <w:i/>
          <w:sz w:val="24"/>
          <w:szCs w:val="24"/>
        </w:rPr>
        <w:t xml:space="preserve">Train the Trainer Workshops </w:t>
      </w:r>
      <w:r w:rsidRPr="00B42CC7">
        <w:rPr>
          <w:b/>
          <w:i/>
          <w:sz w:val="24"/>
          <w:szCs w:val="24"/>
        </w:rPr>
        <w:t>(see LSS)</w:t>
      </w:r>
    </w:p>
    <w:p w:rsidR="00EE6505" w:rsidRPr="00B50DD6" w:rsidRDefault="00EE6505" w:rsidP="00363C6C">
      <w:pPr>
        <w:rPr>
          <w:b/>
          <w:i/>
          <w:sz w:val="24"/>
          <w:szCs w:val="24"/>
        </w:rPr>
      </w:pPr>
    </w:p>
    <w:p w:rsidR="00EE6505" w:rsidRPr="0020752F" w:rsidRDefault="00EE6505" w:rsidP="00363C6C">
      <w:pPr>
        <w:rPr>
          <w:b/>
          <w:i/>
          <w:sz w:val="24"/>
          <w:szCs w:val="24"/>
        </w:rPr>
      </w:pPr>
      <w:r w:rsidRPr="0020752F">
        <w:rPr>
          <w:b/>
          <w:i/>
          <w:sz w:val="24"/>
          <w:szCs w:val="24"/>
        </w:rPr>
        <w:t>Eastside Financial Center (linked to MN FPA and Private Sector)</w:t>
      </w:r>
    </w:p>
    <w:p w:rsidR="00EE6505" w:rsidRPr="0020752F" w:rsidRDefault="00EE6505" w:rsidP="00363C6C">
      <w:pPr>
        <w:pStyle w:val="NormalWeb"/>
        <w:spacing w:before="0" w:beforeAutospacing="0" w:after="0" w:afterAutospacing="0"/>
        <w:rPr>
          <w:rFonts w:ascii="Arial" w:hAnsi="Arial" w:cs="Arial"/>
          <w:sz w:val="20"/>
          <w:szCs w:val="20"/>
        </w:rPr>
      </w:pPr>
      <w:r>
        <w:rPr>
          <w:rFonts w:ascii="Arial" w:hAnsi="Arial" w:cs="Arial"/>
          <w:sz w:val="20"/>
          <w:szCs w:val="20"/>
          <w:u w:val="single"/>
        </w:rPr>
        <w:t>“</w:t>
      </w:r>
      <w:r w:rsidRPr="0020752F">
        <w:rPr>
          <w:rFonts w:ascii="Arial" w:hAnsi="Arial" w:cs="Arial"/>
          <w:sz w:val="20"/>
          <w:szCs w:val="20"/>
          <w:u w:val="single"/>
        </w:rPr>
        <w:t>Eastside Financial Center (EFC)</w:t>
      </w:r>
      <w:r w:rsidRPr="0020752F">
        <w:rPr>
          <w:rFonts w:ascii="Arial" w:hAnsi="Arial" w:cs="Arial"/>
          <w:sz w:val="20"/>
          <w:szCs w:val="20"/>
        </w:rPr>
        <w:t xml:space="preserve"> is a community based center that offers financial services, counseling and education, with a focus on building wealth and monetary stability. EFC wants to serve as a financial stepping stone for people from diverse backgrounds and support their goals for financial security</w:t>
      </w:r>
      <w:r>
        <w:rPr>
          <w:rFonts w:ascii="Arial" w:hAnsi="Arial" w:cs="Arial"/>
          <w:sz w:val="20"/>
          <w:szCs w:val="20"/>
        </w:rPr>
        <w:t>”.</w:t>
      </w:r>
    </w:p>
    <w:p w:rsidR="00EE6505" w:rsidRDefault="00EE6505" w:rsidP="00363C6C">
      <w:pPr>
        <w:pStyle w:val="NormalWeb"/>
        <w:spacing w:before="0" w:beforeAutospacing="0" w:after="0" w:afterAutospacing="0"/>
        <w:rPr>
          <w:rFonts w:ascii="Arial" w:hAnsi="Arial" w:cs="Arial"/>
          <w:sz w:val="20"/>
          <w:szCs w:val="20"/>
        </w:rPr>
      </w:pPr>
    </w:p>
    <w:p w:rsidR="00EE6505" w:rsidRDefault="00EE6505" w:rsidP="00363C6C">
      <w:pPr>
        <w:pStyle w:val="NormalWeb"/>
        <w:spacing w:before="0" w:beforeAutospacing="0" w:after="0" w:afterAutospacing="0"/>
        <w:rPr>
          <w:rFonts w:ascii="Arial" w:hAnsi="Arial" w:cs="Arial"/>
          <w:sz w:val="20"/>
          <w:szCs w:val="20"/>
        </w:rPr>
      </w:pPr>
      <w:r w:rsidRPr="0020752F">
        <w:rPr>
          <w:rFonts w:ascii="Arial" w:hAnsi="Arial" w:cs="Arial"/>
          <w:sz w:val="20"/>
          <w:szCs w:val="20"/>
        </w:rPr>
        <w:t xml:space="preserve">The purpose of the </w:t>
      </w:r>
      <w:r>
        <w:rPr>
          <w:rFonts w:ascii="Arial" w:hAnsi="Arial" w:cs="Arial"/>
          <w:sz w:val="20"/>
          <w:szCs w:val="20"/>
        </w:rPr>
        <w:t>EFC is to “</w:t>
      </w:r>
      <w:r w:rsidRPr="0020752F">
        <w:rPr>
          <w:rFonts w:ascii="Arial" w:hAnsi="Arial" w:cs="Arial"/>
          <w:sz w:val="20"/>
          <w:szCs w:val="20"/>
        </w:rPr>
        <w:t>provide a multicultural community with access to the vital tools necessary for financial growth and stability</w:t>
      </w:r>
      <w:r>
        <w:rPr>
          <w:rFonts w:ascii="Arial" w:hAnsi="Arial" w:cs="Arial"/>
          <w:sz w:val="20"/>
          <w:szCs w:val="20"/>
        </w:rPr>
        <w:t>”</w:t>
      </w:r>
      <w:r w:rsidRPr="0020752F">
        <w:rPr>
          <w:rFonts w:ascii="Arial" w:hAnsi="Arial" w:cs="Arial"/>
          <w:sz w:val="20"/>
          <w:szCs w:val="20"/>
        </w:rPr>
        <w:t xml:space="preserve">. </w:t>
      </w:r>
    </w:p>
    <w:p w:rsidR="00EE6505" w:rsidRDefault="00EE6505" w:rsidP="00363C6C">
      <w:pPr>
        <w:pStyle w:val="NormalWeb"/>
        <w:spacing w:before="0" w:beforeAutospacing="0" w:after="0" w:afterAutospacing="0"/>
        <w:rPr>
          <w:rFonts w:ascii="Arial" w:hAnsi="Arial" w:cs="Arial"/>
          <w:sz w:val="20"/>
          <w:szCs w:val="20"/>
        </w:rPr>
      </w:pPr>
    </w:p>
    <w:p w:rsidR="00EE6505" w:rsidRPr="0020752F" w:rsidRDefault="004B199A" w:rsidP="00363C6C">
      <w:pPr>
        <w:pStyle w:val="NormalWeb"/>
        <w:spacing w:before="0" w:beforeAutospacing="0" w:after="0" w:afterAutospacing="0"/>
        <w:rPr>
          <w:rFonts w:ascii="Arial" w:hAnsi="Arial" w:cs="Arial"/>
          <w:sz w:val="20"/>
          <w:szCs w:val="20"/>
        </w:rPr>
      </w:pPr>
      <w:hyperlink r:id="rId32" w:history="1">
        <w:r w:rsidR="00EE6505" w:rsidRPr="000C49E7">
          <w:rPr>
            <w:rStyle w:val="Hyperlink"/>
            <w:rFonts w:ascii="Arial" w:hAnsi="Arial" w:cs="Arial"/>
            <w:sz w:val="20"/>
            <w:szCs w:val="20"/>
          </w:rPr>
          <w:t>http://eastsidefinancialcenter.org/index.html</w:t>
        </w:r>
      </w:hyperlink>
    </w:p>
    <w:p w:rsidR="00EE6505" w:rsidRPr="0020752F" w:rsidRDefault="00EE6505" w:rsidP="00363C6C">
      <w:pPr>
        <w:rPr>
          <w:sz w:val="24"/>
          <w:szCs w:val="24"/>
        </w:rPr>
      </w:pPr>
    </w:p>
    <w:p w:rsidR="00EE6505" w:rsidRPr="0020752F" w:rsidRDefault="00EE6505" w:rsidP="00363C6C">
      <w:pPr>
        <w:rPr>
          <w:b/>
          <w:i/>
          <w:sz w:val="24"/>
          <w:szCs w:val="24"/>
        </w:rPr>
      </w:pPr>
      <w:r w:rsidRPr="009D1734">
        <w:rPr>
          <w:b/>
          <w:i/>
          <w:sz w:val="24"/>
          <w:szCs w:val="24"/>
        </w:rPr>
        <w:t>Financial Education in the Workplace</w:t>
      </w:r>
      <w:r w:rsidRPr="0020752F">
        <w:rPr>
          <w:b/>
          <w:i/>
          <w:sz w:val="24"/>
          <w:szCs w:val="24"/>
        </w:rPr>
        <w:t xml:space="preserve"> (linked to MN FPA and Private Sector)</w:t>
      </w:r>
    </w:p>
    <w:p w:rsidR="00EE6505" w:rsidRDefault="00EE6505" w:rsidP="006E044A">
      <w:pPr>
        <w:pStyle w:val="ListParagraph"/>
        <w:ind w:left="0"/>
      </w:pPr>
      <w:r>
        <w:t>Lutheran Social Services and various private companies work with employers to provide financial coaching, counseling and/or planning services to their employees.</w:t>
      </w:r>
    </w:p>
    <w:p w:rsidR="00EE6505" w:rsidRPr="006E044A" w:rsidRDefault="00EE6505" w:rsidP="006E044A">
      <w:pPr>
        <w:pStyle w:val="ListParagraph"/>
        <w:ind w:left="0"/>
      </w:pPr>
    </w:p>
    <w:p w:rsidR="00EE6505" w:rsidRPr="0020752F" w:rsidRDefault="00EE6505" w:rsidP="00363C6C">
      <w:pPr>
        <w:rPr>
          <w:b/>
          <w:i/>
          <w:sz w:val="24"/>
          <w:szCs w:val="24"/>
        </w:rPr>
      </w:pPr>
      <w:r w:rsidRPr="006E044A">
        <w:rPr>
          <w:b/>
          <w:i/>
          <w:sz w:val="24"/>
          <w:szCs w:val="24"/>
        </w:rPr>
        <w:t>UMN Financial Coaching and Training Certification Program</w:t>
      </w:r>
      <w:r w:rsidRPr="0020752F">
        <w:rPr>
          <w:b/>
          <w:i/>
          <w:sz w:val="24"/>
          <w:szCs w:val="24"/>
        </w:rPr>
        <w:t xml:space="preserve"> (linked to UMN)</w:t>
      </w:r>
    </w:p>
    <w:p w:rsidR="00EE6505" w:rsidRPr="0020752F" w:rsidRDefault="00EE6505" w:rsidP="00363C6C">
      <w:pPr>
        <w:rPr>
          <w:b/>
          <w:i/>
          <w:sz w:val="24"/>
          <w:szCs w:val="24"/>
        </w:rPr>
      </w:pPr>
    </w:p>
    <w:p w:rsidR="00EE6505" w:rsidRDefault="00EE6505" w:rsidP="00363C6C">
      <w:pPr>
        <w:rPr>
          <w:b/>
          <w:i/>
          <w:sz w:val="24"/>
          <w:szCs w:val="24"/>
        </w:rPr>
      </w:pPr>
    </w:p>
    <w:p w:rsidR="00EE6505" w:rsidRPr="0020752F" w:rsidRDefault="00EE6505" w:rsidP="00363C6C">
      <w:pPr>
        <w:rPr>
          <w:b/>
          <w:i/>
          <w:sz w:val="24"/>
          <w:szCs w:val="24"/>
        </w:rPr>
      </w:pPr>
      <w:r w:rsidRPr="0020752F">
        <w:rPr>
          <w:b/>
          <w:i/>
          <w:sz w:val="24"/>
          <w:szCs w:val="24"/>
        </w:rPr>
        <w:t>Family Means</w:t>
      </w:r>
    </w:p>
    <w:p w:rsidR="00EE6505" w:rsidRDefault="00EE6505" w:rsidP="00363C6C">
      <w:r w:rsidRPr="001A3D6D">
        <w:rPr>
          <w:u w:val="single"/>
        </w:rPr>
        <w:t>Family Means</w:t>
      </w:r>
      <w:r>
        <w:t xml:space="preserve"> provides </w:t>
      </w:r>
      <w:r w:rsidRPr="001A3D6D">
        <w:t xml:space="preserve">tools and education </w:t>
      </w:r>
      <w:r>
        <w:t xml:space="preserve">through their </w:t>
      </w:r>
      <w:r w:rsidRPr="001A3D6D">
        <w:t xml:space="preserve">Consumer Credit Counseling Service (CCCS) </w:t>
      </w:r>
      <w:r>
        <w:t xml:space="preserve">services </w:t>
      </w:r>
      <w:r w:rsidRPr="001A3D6D">
        <w:t xml:space="preserve">so families can regain financial stability and reduce unmanageable debt.  </w:t>
      </w:r>
      <w:r w:rsidRPr="004328E9">
        <w:rPr>
          <w:szCs w:val="28"/>
        </w:rPr>
        <w:t xml:space="preserve">They </w:t>
      </w:r>
      <w:r w:rsidRPr="004328E9">
        <w:t>are a member agency of the National Foundation for Credit Counseling (NFCC), which is highly highly recognized within the industry and by creditors for its trademarked Counselor Certification Program.</w:t>
      </w:r>
    </w:p>
    <w:p w:rsidR="00EE6505" w:rsidRPr="001A3D6D" w:rsidRDefault="00EE6505" w:rsidP="00363C6C">
      <w:pPr>
        <w:rPr>
          <w:rFonts w:ascii="Times New Roman" w:hAnsi="Times New Roman" w:cs="Times New Roman"/>
        </w:rPr>
      </w:pPr>
      <w:r w:rsidRPr="001A3D6D">
        <w:rPr>
          <w:rFonts w:ascii="Times New Roman" w:hAnsi="Times New Roman" w:cs="Times New Roman"/>
          <w:sz w:val="24"/>
          <w:szCs w:val="24"/>
        </w:rPr>
        <w:t> </w:t>
      </w:r>
      <w:r>
        <w:rPr>
          <w:rFonts w:ascii="Times New Roman" w:hAnsi="Times New Roman" w:cs="Times New Roman"/>
        </w:rPr>
        <w:t xml:space="preserve"> </w:t>
      </w:r>
    </w:p>
    <w:p w:rsidR="00EE6505" w:rsidRPr="001A3D6D" w:rsidRDefault="00EE6505" w:rsidP="00363C6C">
      <w:pPr>
        <w:rPr>
          <w:rFonts w:ascii="Times New Roman" w:hAnsi="Times New Roman" w:cs="Times New Roman"/>
          <w:sz w:val="24"/>
          <w:szCs w:val="24"/>
        </w:rPr>
      </w:pPr>
      <w:r>
        <w:t>Services they provide include</w:t>
      </w:r>
      <w:r w:rsidRPr="001A3D6D">
        <w:t>:</w:t>
      </w:r>
      <w:r w:rsidRPr="001A3D6D">
        <w:rPr>
          <w:rFonts w:ascii="Times New Roman" w:hAnsi="Times New Roman" w:cs="Times New Roman"/>
          <w:sz w:val="24"/>
          <w:szCs w:val="24"/>
        </w:rPr>
        <w:t xml:space="preserve">  </w:t>
      </w:r>
    </w:p>
    <w:p w:rsidR="00EE6505" w:rsidRPr="001A3D6D" w:rsidRDefault="00EE6505" w:rsidP="00363C6C">
      <w:pPr>
        <w:numPr>
          <w:ilvl w:val="0"/>
          <w:numId w:val="14"/>
        </w:numPr>
        <w:rPr>
          <w:sz w:val="18"/>
          <w:szCs w:val="18"/>
        </w:rPr>
      </w:pPr>
      <w:r w:rsidRPr="001A3D6D">
        <w:t>budget and credit counseling tailored to fit your needs</w:t>
      </w:r>
      <w:r w:rsidRPr="001A3D6D">
        <w:rPr>
          <w:sz w:val="18"/>
          <w:szCs w:val="18"/>
        </w:rPr>
        <w:t xml:space="preserve"> </w:t>
      </w:r>
    </w:p>
    <w:p w:rsidR="00EE6505" w:rsidRPr="001A3D6D" w:rsidRDefault="00EE6505" w:rsidP="00363C6C">
      <w:pPr>
        <w:numPr>
          <w:ilvl w:val="0"/>
          <w:numId w:val="14"/>
        </w:numPr>
        <w:rPr>
          <w:sz w:val="18"/>
          <w:szCs w:val="18"/>
        </w:rPr>
      </w:pPr>
      <w:r w:rsidRPr="001A3D6D">
        <w:t>financial literacy and education</w:t>
      </w:r>
      <w:r w:rsidRPr="001A3D6D">
        <w:rPr>
          <w:sz w:val="18"/>
          <w:szCs w:val="18"/>
        </w:rPr>
        <w:t xml:space="preserve">  </w:t>
      </w:r>
    </w:p>
    <w:p w:rsidR="00EE6505" w:rsidRPr="001A3D6D" w:rsidRDefault="00EE6505" w:rsidP="00363C6C">
      <w:pPr>
        <w:numPr>
          <w:ilvl w:val="0"/>
          <w:numId w:val="14"/>
        </w:numPr>
        <w:rPr>
          <w:sz w:val="18"/>
          <w:szCs w:val="18"/>
        </w:rPr>
      </w:pPr>
      <w:r w:rsidRPr="001A3D6D">
        <w:t>a Debt Management Program (DMP) </w:t>
      </w:r>
      <w:r w:rsidRPr="001A3D6D">
        <w:rPr>
          <w:sz w:val="18"/>
          <w:szCs w:val="18"/>
        </w:rPr>
        <w:t xml:space="preserve"> </w:t>
      </w:r>
    </w:p>
    <w:p w:rsidR="00EE6505" w:rsidRPr="001A3D6D" w:rsidRDefault="00EE6505" w:rsidP="00363C6C">
      <w:pPr>
        <w:numPr>
          <w:ilvl w:val="0"/>
          <w:numId w:val="14"/>
        </w:numPr>
        <w:rPr>
          <w:sz w:val="18"/>
          <w:szCs w:val="18"/>
        </w:rPr>
      </w:pPr>
      <w:r w:rsidRPr="001A3D6D">
        <w:t>in-person, telephone, mail or online counseling</w:t>
      </w:r>
      <w:r w:rsidRPr="001A3D6D">
        <w:rPr>
          <w:sz w:val="18"/>
          <w:szCs w:val="18"/>
        </w:rPr>
        <w:t xml:space="preserve">  </w:t>
      </w:r>
    </w:p>
    <w:p w:rsidR="00EE6505" w:rsidRPr="001A3D6D" w:rsidRDefault="00EE6505" w:rsidP="00363C6C">
      <w:pPr>
        <w:numPr>
          <w:ilvl w:val="0"/>
          <w:numId w:val="14"/>
        </w:numPr>
        <w:rPr>
          <w:sz w:val="18"/>
          <w:szCs w:val="18"/>
        </w:rPr>
      </w:pPr>
      <w:r w:rsidRPr="001A3D6D">
        <w:t>convenient appointment options</w:t>
      </w:r>
      <w:r w:rsidRPr="001A3D6D">
        <w:rPr>
          <w:sz w:val="18"/>
          <w:szCs w:val="18"/>
        </w:rPr>
        <w:t xml:space="preserve"> </w:t>
      </w:r>
    </w:p>
    <w:p w:rsidR="00EE6505" w:rsidRPr="001A3D6D" w:rsidRDefault="00EE6505" w:rsidP="00363C6C">
      <w:pPr>
        <w:numPr>
          <w:ilvl w:val="0"/>
          <w:numId w:val="14"/>
        </w:numPr>
        <w:rPr>
          <w:sz w:val="18"/>
          <w:szCs w:val="18"/>
        </w:rPr>
      </w:pPr>
      <w:r w:rsidRPr="001A3D6D">
        <w:t>offices located throughout the Twin Cities metro area, southern Minnesota, and western Wisconsin</w:t>
      </w:r>
      <w:r w:rsidRPr="001A3D6D">
        <w:rPr>
          <w:rFonts w:ascii="Times New Roman" w:hAnsi="Times New Roman" w:cs="Times New Roman"/>
          <w:sz w:val="24"/>
          <w:szCs w:val="24"/>
        </w:rPr>
        <w:t xml:space="preserve"> </w:t>
      </w:r>
    </w:p>
    <w:p w:rsidR="00EE6505" w:rsidRPr="001A3D6D" w:rsidRDefault="00EE6505" w:rsidP="00363C6C"/>
    <w:p w:rsidR="00EE6505" w:rsidRPr="0020752F" w:rsidRDefault="00EE6505" w:rsidP="00363C6C">
      <w:pPr>
        <w:rPr>
          <w:b/>
          <w:i/>
          <w:sz w:val="24"/>
          <w:szCs w:val="24"/>
        </w:rPr>
      </w:pPr>
      <w:r w:rsidRPr="006E044A">
        <w:rPr>
          <w:b/>
          <w:i/>
          <w:sz w:val="24"/>
          <w:szCs w:val="24"/>
        </w:rPr>
        <w:t>MN Financial Fitness Conference</w:t>
      </w:r>
      <w:r w:rsidRPr="0020752F">
        <w:rPr>
          <w:b/>
          <w:i/>
          <w:sz w:val="24"/>
          <w:szCs w:val="24"/>
        </w:rPr>
        <w:t xml:space="preserve"> (linked to MN Financial Fitness Network in center</w:t>
      </w:r>
      <w:r>
        <w:rPr>
          <w:b/>
          <w:i/>
          <w:sz w:val="24"/>
          <w:szCs w:val="24"/>
        </w:rPr>
        <w:t xml:space="preserve"> and OEO</w:t>
      </w:r>
      <w:r w:rsidRPr="0020752F">
        <w:rPr>
          <w:b/>
          <w:i/>
          <w:sz w:val="24"/>
          <w:szCs w:val="24"/>
        </w:rPr>
        <w:t>)</w:t>
      </w:r>
    </w:p>
    <w:p w:rsidR="00EE6505" w:rsidRDefault="00EE6505" w:rsidP="00363C6C">
      <w:r>
        <w:t>The MN Financial Fitness Conference is a statewide annual conference sponsored by FAIM, The Financial Fitness Network, and the Department of Employment and Economic Development</w:t>
      </w:r>
    </w:p>
    <w:p w:rsidR="00EE6505" w:rsidRPr="00877FF9" w:rsidRDefault="00EE6505" w:rsidP="00363C6C">
      <w:pPr>
        <w:rPr>
          <w:b/>
          <w:i/>
          <w:color w:val="FF0000"/>
          <w:sz w:val="24"/>
          <w:szCs w:val="24"/>
        </w:rPr>
      </w:pPr>
    </w:p>
    <w:p w:rsidR="00EE6505" w:rsidRPr="00B50DD6" w:rsidRDefault="00EE6505" w:rsidP="00363C6C">
      <w:pPr>
        <w:rPr>
          <w:b/>
          <w:i/>
          <w:sz w:val="24"/>
          <w:szCs w:val="24"/>
        </w:rPr>
      </w:pPr>
      <w:r w:rsidRPr="006E044A">
        <w:rPr>
          <w:b/>
          <w:i/>
          <w:sz w:val="24"/>
          <w:szCs w:val="24"/>
        </w:rPr>
        <w:lastRenderedPageBreak/>
        <w:t>K-12 Schools</w:t>
      </w:r>
      <w:r w:rsidRPr="0020752F">
        <w:rPr>
          <w:b/>
          <w:i/>
          <w:sz w:val="24"/>
          <w:szCs w:val="24"/>
        </w:rPr>
        <w:t xml:space="preserve"> (linked to Jumpstart, Junior Achievement, MN D</w:t>
      </w:r>
      <w:r>
        <w:rPr>
          <w:b/>
          <w:i/>
          <w:sz w:val="24"/>
          <w:szCs w:val="24"/>
        </w:rPr>
        <w:t xml:space="preserve">epartment </w:t>
      </w:r>
      <w:r w:rsidRPr="0020752F">
        <w:rPr>
          <w:b/>
          <w:i/>
          <w:sz w:val="24"/>
          <w:szCs w:val="24"/>
        </w:rPr>
        <w:t>of</w:t>
      </w:r>
      <w:r>
        <w:rPr>
          <w:b/>
          <w:i/>
          <w:sz w:val="24"/>
          <w:szCs w:val="24"/>
        </w:rPr>
        <w:t xml:space="preserve"> </w:t>
      </w:r>
      <w:r w:rsidRPr="0020752F">
        <w:rPr>
          <w:b/>
          <w:i/>
          <w:sz w:val="24"/>
          <w:szCs w:val="24"/>
        </w:rPr>
        <w:t>Ed</w:t>
      </w:r>
      <w:r>
        <w:rPr>
          <w:b/>
          <w:i/>
          <w:sz w:val="24"/>
          <w:szCs w:val="24"/>
        </w:rPr>
        <w:t>ucation</w:t>
      </w:r>
      <w:r w:rsidRPr="0020752F">
        <w:rPr>
          <w:b/>
          <w:i/>
          <w:sz w:val="24"/>
          <w:szCs w:val="24"/>
        </w:rPr>
        <w:t>, and MN Council of Economic Education)</w:t>
      </w:r>
    </w:p>
    <w:p w:rsidR="00EE6505" w:rsidRPr="006E044A" w:rsidRDefault="00EE6505" w:rsidP="00363C6C">
      <w:r>
        <w:t>There are varying levels and approaches for delivering personal finance education, and a number of entities that are sporadically involved in this work.</w:t>
      </w:r>
    </w:p>
    <w:p w:rsidR="00EE6505" w:rsidRDefault="00EE6505" w:rsidP="00363C6C">
      <w:pPr>
        <w:rPr>
          <w:sz w:val="28"/>
          <w:szCs w:val="28"/>
        </w:rPr>
      </w:pPr>
    </w:p>
    <w:p w:rsidR="00EE6505" w:rsidRPr="007B5AE3" w:rsidRDefault="00EE6505" w:rsidP="00363C6C">
      <w:pPr>
        <w:rPr>
          <w:b/>
          <w:i/>
          <w:sz w:val="24"/>
          <w:szCs w:val="24"/>
        </w:rPr>
      </w:pPr>
      <w:r w:rsidRPr="007B5AE3">
        <w:rPr>
          <w:b/>
          <w:i/>
          <w:sz w:val="24"/>
          <w:szCs w:val="24"/>
        </w:rPr>
        <w:t>Integration of Financial Education into Nonprofit Human Services via</w:t>
      </w:r>
      <w:r>
        <w:rPr>
          <w:b/>
          <w:i/>
          <w:sz w:val="24"/>
          <w:szCs w:val="24"/>
        </w:rPr>
        <w:t>:</w:t>
      </w:r>
    </w:p>
    <w:p w:rsidR="00EE6505" w:rsidRPr="007B5AE3" w:rsidRDefault="00EE6505" w:rsidP="00363C6C">
      <w:pPr>
        <w:rPr>
          <w:b/>
          <w:i/>
          <w:sz w:val="24"/>
          <w:szCs w:val="24"/>
        </w:rPr>
      </w:pPr>
    </w:p>
    <w:p w:rsidR="00EE6505" w:rsidRDefault="00EE6505" w:rsidP="00363C6C">
      <w:pPr>
        <w:rPr>
          <w:b/>
          <w:i/>
          <w:sz w:val="24"/>
          <w:szCs w:val="24"/>
        </w:rPr>
      </w:pPr>
      <w:r w:rsidRPr="007B5AE3">
        <w:rPr>
          <w:b/>
          <w:i/>
          <w:sz w:val="24"/>
          <w:szCs w:val="24"/>
        </w:rPr>
        <w:t>AccountAbility MN</w:t>
      </w:r>
    </w:p>
    <w:p w:rsidR="00EE6505" w:rsidRPr="000E4A9C" w:rsidRDefault="00EE6505" w:rsidP="00363C6C">
      <w:r>
        <w:rPr>
          <w:bCs/>
          <w:u w:val="single"/>
        </w:rPr>
        <w:t>“</w:t>
      </w:r>
      <w:r w:rsidRPr="000E4A9C">
        <w:rPr>
          <w:bCs/>
          <w:u w:val="single"/>
        </w:rPr>
        <w:t>AccountAbility MN</w:t>
      </w:r>
      <w:r>
        <w:rPr>
          <w:bCs/>
        </w:rPr>
        <w:t xml:space="preserve"> </w:t>
      </w:r>
      <w:r w:rsidRPr="000E4A9C">
        <w:rPr>
          <w:bCs/>
        </w:rPr>
        <w:t>assist</w:t>
      </w:r>
      <w:r>
        <w:rPr>
          <w:bCs/>
        </w:rPr>
        <w:t>s</w:t>
      </w:r>
      <w:r w:rsidRPr="000E4A9C">
        <w:rPr>
          <w:bCs/>
        </w:rPr>
        <w:t xml:space="preserve"> Minnesotans to move out of poverty by providing pathways to increase income, build assets and become financially secure, and by advocating for change that breaks down barriers to financial success</w:t>
      </w:r>
      <w:r w:rsidRPr="000E4A9C">
        <w:t xml:space="preserve">. </w:t>
      </w:r>
      <w:r>
        <w:t>This is done</w:t>
      </w:r>
      <w:r w:rsidRPr="000E4A9C">
        <w:t xml:space="preserve"> by:</w:t>
      </w:r>
    </w:p>
    <w:p w:rsidR="00EE6505" w:rsidRPr="000E4A9C" w:rsidRDefault="00EE6505" w:rsidP="00363C6C">
      <w:pPr>
        <w:numPr>
          <w:ilvl w:val="0"/>
          <w:numId w:val="15"/>
        </w:numPr>
      </w:pPr>
      <w:r w:rsidRPr="000E4A9C">
        <w:t>Providing free tax assistance each year to thousands of low-income working taxpayers and sole-proprietors in the Twin Cities, and helping them to maximize the tax credit refunds they are due to significantly boost their incomes;</w:t>
      </w:r>
    </w:p>
    <w:p w:rsidR="00EE6505" w:rsidRPr="000E4A9C" w:rsidRDefault="00EE6505" w:rsidP="00363C6C">
      <w:pPr>
        <w:numPr>
          <w:ilvl w:val="0"/>
          <w:numId w:val="15"/>
        </w:numPr>
      </w:pPr>
      <w:r w:rsidRPr="000E4A9C">
        <w:t>Partnering with financial institutions and community organizations to expand access to financial products and services that encourage low- and moderate-income taxpayers to use their cash credits to build assets and improve their long-term financial security;</w:t>
      </w:r>
    </w:p>
    <w:p w:rsidR="00EE6505" w:rsidRDefault="00EE6505" w:rsidP="00363C6C">
      <w:pPr>
        <w:numPr>
          <w:ilvl w:val="0"/>
          <w:numId w:val="15"/>
        </w:numPr>
      </w:pPr>
      <w:r w:rsidRPr="000E4A9C">
        <w:t>Providing technical assistance to other organizations throughout Minnesota, training them to provide these vital services</w:t>
      </w:r>
      <w:r>
        <w:t>”</w:t>
      </w:r>
    </w:p>
    <w:p w:rsidR="00EE6505" w:rsidRPr="000E4A9C" w:rsidRDefault="00EE6505" w:rsidP="00363C6C">
      <w:pPr>
        <w:ind w:left="720"/>
      </w:pPr>
    </w:p>
    <w:p w:rsidR="00EE6505" w:rsidRPr="000E4A9C" w:rsidRDefault="004B199A" w:rsidP="00363C6C">
      <w:hyperlink r:id="rId33" w:history="1">
        <w:r w:rsidR="00EE6505" w:rsidRPr="000E4A9C">
          <w:rPr>
            <w:rStyle w:val="Hyperlink"/>
            <w:rFonts w:cs="Arial"/>
          </w:rPr>
          <w:t>http://www.accountabilitymn.org/</w:t>
        </w:r>
      </w:hyperlink>
    </w:p>
    <w:p w:rsidR="00EE6505" w:rsidRPr="007B5AE3" w:rsidRDefault="00EE6505" w:rsidP="00363C6C">
      <w:pPr>
        <w:rPr>
          <w:b/>
          <w:i/>
          <w:sz w:val="24"/>
          <w:szCs w:val="24"/>
        </w:rPr>
      </w:pPr>
    </w:p>
    <w:p w:rsidR="00EE6505" w:rsidRDefault="00EE6505" w:rsidP="00363C6C">
      <w:pPr>
        <w:rPr>
          <w:b/>
          <w:i/>
          <w:sz w:val="24"/>
          <w:szCs w:val="24"/>
        </w:rPr>
      </w:pPr>
      <w:r w:rsidRPr="000921A8">
        <w:rPr>
          <w:b/>
          <w:i/>
          <w:sz w:val="24"/>
          <w:szCs w:val="24"/>
        </w:rPr>
        <w:t>Nonprofits (general)</w:t>
      </w:r>
      <w:r>
        <w:rPr>
          <w:b/>
          <w:i/>
          <w:sz w:val="24"/>
          <w:szCs w:val="24"/>
        </w:rPr>
        <w:t xml:space="preserve"> </w:t>
      </w:r>
    </w:p>
    <w:p w:rsidR="00EE6505" w:rsidRPr="000921A8" w:rsidRDefault="00EE6505" w:rsidP="00363C6C">
      <w:r>
        <w:t xml:space="preserve">Many non profits offer varying levels of financial education to their clients. Very few integrate financial education in to all their services and many have limited access to these services. </w:t>
      </w:r>
    </w:p>
    <w:p w:rsidR="00EE6505" w:rsidRPr="00EE1A07" w:rsidRDefault="00EE6505" w:rsidP="00EE1A07">
      <w:pPr>
        <w:rPr>
          <w:sz w:val="28"/>
          <w:szCs w:val="28"/>
        </w:rPr>
      </w:pPr>
    </w:p>
    <w:sectPr w:rsidR="00EE6505" w:rsidRPr="00EE1A07" w:rsidSect="0002740A">
      <w:pgSz w:w="20160" w:h="12240" w:orient="landscape"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3BB4CFD"/>
    <w:multiLevelType w:val="multilevel"/>
    <w:tmpl w:val="0C3249F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56FC4"/>
    <w:multiLevelType w:val="multilevel"/>
    <w:tmpl w:val="1E14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555000"/>
    <w:multiLevelType w:val="multilevel"/>
    <w:tmpl w:val="C082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11713E"/>
    <w:multiLevelType w:val="hybridMultilevel"/>
    <w:tmpl w:val="525E61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81550"/>
    <w:multiLevelType w:val="hybridMultilevel"/>
    <w:tmpl w:val="8FEE04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BA40C9D"/>
    <w:multiLevelType w:val="hybridMultilevel"/>
    <w:tmpl w:val="B83C8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0667B8"/>
    <w:multiLevelType w:val="multilevel"/>
    <w:tmpl w:val="ABDC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0276BB"/>
    <w:multiLevelType w:val="hybridMultilevel"/>
    <w:tmpl w:val="7EC0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D93875"/>
    <w:multiLevelType w:val="multilevel"/>
    <w:tmpl w:val="4E72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A0537E"/>
    <w:multiLevelType w:val="hybridMultilevel"/>
    <w:tmpl w:val="C7E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B12A7F"/>
    <w:multiLevelType w:val="multilevel"/>
    <w:tmpl w:val="2D4E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202F51"/>
    <w:multiLevelType w:val="hybridMultilevel"/>
    <w:tmpl w:val="E8BE79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F70B42"/>
    <w:multiLevelType w:val="hybridMultilevel"/>
    <w:tmpl w:val="2506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DF4651"/>
    <w:multiLevelType w:val="hybridMultilevel"/>
    <w:tmpl w:val="CF2A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D62001"/>
    <w:multiLevelType w:val="multilevel"/>
    <w:tmpl w:val="D96CB97C"/>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1"/>
  </w:num>
  <w:num w:numId="4">
    <w:abstractNumId w:val="10"/>
  </w:num>
  <w:num w:numId="5">
    <w:abstractNumId w:val="4"/>
  </w:num>
  <w:num w:numId="6">
    <w:abstractNumId w:val="9"/>
  </w:num>
  <w:num w:numId="7">
    <w:abstractNumId w:val="2"/>
  </w:num>
  <w:num w:numId="8">
    <w:abstractNumId w:val="0"/>
  </w:num>
  <w:num w:numId="9">
    <w:abstractNumId w:val="8"/>
  </w:num>
  <w:num w:numId="10">
    <w:abstractNumId w:val="7"/>
  </w:num>
  <w:num w:numId="11">
    <w:abstractNumId w:val="12"/>
  </w:num>
  <w:num w:numId="12">
    <w:abstractNumId w:val="13"/>
  </w:num>
  <w:num w:numId="13">
    <w:abstractNumId w:val="14"/>
  </w:num>
  <w:num w:numId="14">
    <w:abstractNumId w:val="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compat/>
  <w:rsids>
    <w:rsidRoot w:val="005F5D91"/>
    <w:rsid w:val="00012A24"/>
    <w:rsid w:val="0002740A"/>
    <w:rsid w:val="000312A3"/>
    <w:rsid w:val="00065333"/>
    <w:rsid w:val="00067E79"/>
    <w:rsid w:val="00081CBB"/>
    <w:rsid w:val="000909CC"/>
    <w:rsid w:val="000921A8"/>
    <w:rsid w:val="000C49E7"/>
    <w:rsid w:val="000C668A"/>
    <w:rsid w:val="000E4A9C"/>
    <w:rsid w:val="00135924"/>
    <w:rsid w:val="0016262B"/>
    <w:rsid w:val="001633B3"/>
    <w:rsid w:val="00175676"/>
    <w:rsid w:val="001A3D6D"/>
    <w:rsid w:val="00204479"/>
    <w:rsid w:val="0020752F"/>
    <w:rsid w:val="00216674"/>
    <w:rsid w:val="002204CD"/>
    <w:rsid w:val="00260F8C"/>
    <w:rsid w:val="00292C4F"/>
    <w:rsid w:val="002E1C10"/>
    <w:rsid w:val="002E2091"/>
    <w:rsid w:val="002F20B4"/>
    <w:rsid w:val="00300BBE"/>
    <w:rsid w:val="00315CE8"/>
    <w:rsid w:val="00327F96"/>
    <w:rsid w:val="003378B3"/>
    <w:rsid w:val="00363C6C"/>
    <w:rsid w:val="003902E1"/>
    <w:rsid w:val="004201BB"/>
    <w:rsid w:val="00427934"/>
    <w:rsid w:val="004328E9"/>
    <w:rsid w:val="004360CD"/>
    <w:rsid w:val="00480728"/>
    <w:rsid w:val="004B199A"/>
    <w:rsid w:val="004B79D8"/>
    <w:rsid w:val="004E1D5D"/>
    <w:rsid w:val="004E5E81"/>
    <w:rsid w:val="004F1C30"/>
    <w:rsid w:val="004F2DE1"/>
    <w:rsid w:val="00521A1F"/>
    <w:rsid w:val="005941CD"/>
    <w:rsid w:val="005E46E7"/>
    <w:rsid w:val="005E7AF2"/>
    <w:rsid w:val="005F5D91"/>
    <w:rsid w:val="0060159C"/>
    <w:rsid w:val="00622C9B"/>
    <w:rsid w:val="0063248E"/>
    <w:rsid w:val="00632681"/>
    <w:rsid w:val="006B0A29"/>
    <w:rsid w:val="006C7E94"/>
    <w:rsid w:val="006E044A"/>
    <w:rsid w:val="006F4950"/>
    <w:rsid w:val="00706934"/>
    <w:rsid w:val="00734760"/>
    <w:rsid w:val="0073787D"/>
    <w:rsid w:val="007449DB"/>
    <w:rsid w:val="00755D84"/>
    <w:rsid w:val="007A0FD3"/>
    <w:rsid w:val="007B5AE3"/>
    <w:rsid w:val="007D12DE"/>
    <w:rsid w:val="007D2E79"/>
    <w:rsid w:val="007D5CDF"/>
    <w:rsid w:val="007D5F4C"/>
    <w:rsid w:val="007E04A7"/>
    <w:rsid w:val="00817E86"/>
    <w:rsid w:val="008241A6"/>
    <w:rsid w:val="008451C7"/>
    <w:rsid w:val="008457CF"/>
    <w:rsid w:val="00877FF9"/>
    <w:rsid w:val="00880363"/>
    <w:rsid w:val="00886D91"/>
    <w:rsid w:val="00894483"/>
    <w:rsid w:val="008F2092"/>
    <w:rsid w:val="008F2831"/>
    <w:rsid w:val="00901E92"/>
    <w:rsid w:val="009A1FA4"/>
    <w:rsid w:val="009B125E"/>
    <w:rsid w:val="009B7805"/>
    <w:rsid w:val="009D1734"/>
    <w:rsid w:val="00A02337"/>
    <w:rsid w:val="00A03701"/>
    <w:rsid w:val="00A135EE"/>
    <w:rsid w:val="00A31C0D"/>
    <w:rsid w:val="00A435A1"/>
    <w:rsid w:val="00A815EA"/>
    <w:rsid w:val="00A92E3C"/>
    <w:rsid w:val="00A9596F"/>
    <w:rsid w:val="00AB7751"/>
    <w:rsid w:val="00AC5B0C"/>
    <w:rsid w:val="00AF103E"/>
    <w:rsid w:val="00B42CC7"/>
    <w:rsid w:val="00B442AB"/>
    <w:rsid w:val="00B50DD6"/>
    <w:rsid w:val="00B50FDE"/>
    <w:rsid w:val="00BD638E"/>
    <w:rsid w:val="00C23050"/>
    <w:rsid w:val="00C27DAF"/>
    <w:rsid w:val="00C30D3A"/>
    <w:rsid w:val="00C471C7"/>
    <w:rsid w:val="00CA654F"/>
    <w:rsid w:val="00D00231"/>
    <w:rsid w:val="00DA4EE8"/>
    <w:rsid w:val="00DB76D9"/>
    <w:rsid w:val="00DC3535"/>
    <w:rsid w:val="00E2694B"/>
    <w:rsid w:val="00E568AD"/>
    <w:rsid w:val="00E933F0"/>
    <w:rsid w:val="00EE1A07"/>
    <w:rsid w:val="00EE6505"/>
    <w:rsid w:val="00EE712D"/>
    <w:rsid w:val="00F10DC2"/>
    <w:rsid w:val="00F40B17"/>
    <w:rsid w:val="00F475BF"/>
    <w:rsid w:val="00FB588D"/>
    <w:rsid w:val="00FC7227"/>
    <w:rsid w:val="00FD42B3"/>
    <w:rsid w:val="00FE2788"/>
    <w:rsid w:val="00FE35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136">
      <o:colormru v:ext="edit" colors="#ff9"/>
      <o:colormenu v:ext="edit" fillcolor="#ff9" strokecolor="none [3213]"/>
    </o:shapedefaults>
    <o:shapelayout v:ext="edit">
      <o:idmap v:ext="edit" data="1"/>
      <o:rules v:ext="edit">
        <o:r id="V:Rule49" type="connector" idref="#_x0000_s1087"/>
        <o:r id="V:Rule50" type="connector" idref="#_x0000_s1069"/>
        <o:r id="V:Rule51" type="connector" idref="#_x0000_s1034"/>
        <o:r id="V:Rule52" type="connector" idref="#_x0000_s1127"/>
        <o:r id="V:Rule53" type="connector" idref="#_x0000_s1031"/>
        <o:r id="V:Rule54" type="connector" idref="#_x0000_s1086"/>
        <o:r id="V:Rule55" type="connector" idref="#_x0000_s1057"/>
        <o:r id="V:Rule56" type="connector" idref="#_x0000_s1056"/>
        <o:r id="V:Rule57" type="connector" idref="#_x0000_s1123"/>
        <o:r id="V:Rule58" type="connector" idref="#_x0000_s1053"/>
        <o:r id="V:Rule59" type="connector" idref="#_x0000_s1124"/>
        <o:r id="V:Rule60" type="connector" idref="#_x0000_s1029"/>
        <o:r id="V:Rule61" type="connector" idref="#_x0000_s1042"/>
        <o:r id="V:Rule62" type="connector" idref="#_x0000_s1095"/>
        <o:r id="V:Rule63" type="connector" idref="#_x0000_s1111"/>
        <o:r id="V:Rule64" type="connector" idref="#_x0000_s1027"/>
        <o:r id="V:Rule65" type="connector" idref="#_x0000_s1039"/>
        <o:r id="V:Rule66" type="connector" idref="#_x0000_s1089"/>
        <o:r id="V:Rule67" type="connector" idref="#_x0000_s1033"/>
        <o:r id="V:Rule68" type="connector" idref="#_x0000_s1125"/>
        <o:r id="V:Rule69" type="connector" idref="#_x0000_s1064"/>
        <o:r id="V:Rule70" type="connector" idref="#_x0000_s1068"/>
        <o:r id="V:Rule71" type="connector" idref="#_x0000_s1079"/>
        <o:r id="V:Rule72" type="connector" idref="#_x0000_s1108"/>
        <o:r id="V:Rule73" type="connector" idref="#_x0000_s1083"/>
        <o:r id="V:Rule74" type="connector" idref="#_x0000_s1035"/>
        <o:r id="V:Rule75" type="connector" idref="#_x0000_s1130"/>
        <o:r id="V:Rule76" type="connector" idref="#_x0000_s1109"/>
        <o:r id="V:Rule77" type="connector" idref="#_x0000_s1112"/>
        <o:r id="V:Rule78" type="connector" idref="#_x0000_s1121"/>
        <o:r id="V:Rule79" type="connector" idref="#_x0000_s1066"/>
        <o:r id="V:Rule80" type="connector" idref="#_x0000_s1122"/>
        <o:r id="V:Rule81" type="connector" idref="#_x0000_s1052"/>
        <o:r id="V:Rule82" type="connector" idref="#_x0000_s1088"/>
        <o:r id="V:Rule83" type="connector" idref="#_x0000_s1045"/>
        <o:r id="V:Rule84" type="connector" idref="#_x0000_s1110"/>
        <o:r id="V:Rule85" type="connector" idref="#_x0000_s1061"/>
        <o:r id="V:Rule86" type="connector" idref="#_x0000_s1113"/>
        <o:r id="V:Rule87" type="connector" idref="#_x0000_s1041"/>
        <o:r id="V:Rule88" type="connector" idref="#_x0000_s1026"/>
        <o:r id="V:Rule89" type="connector" idref="#_x0000_s1114"/>
        <o:r id="V:Rule90" type="connector" idref="#_x0000_s1037"/>
        <o:r id="V:Rule91" type="connector" idref="#_x0000_s1094"/>
        <o:r id="V:Rule92" type="connector" idref="#_x0000_s1070"/>
        <o:r id="V:Rule93" type="connector" idref="#_x0000_s1043"/>
        <o:r id="V:Rule94" type="connector" idref="#_x0000_s1067"/>
        <o:r id="V:Rule95" type="connector" idref="#_x0000_s1044"/>
        <o:r id="V:Rule9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2DE"/>
    <w:rPr>
      <w:sz w:val="20"/>
      <w:szCs w:val="20"/>
    </w:rPr>
  </w:style>
  <w:style w:type="paragraph" w:styleId="Heading2">
    <w:name w:val="heading 2"/>
    <w:basedOn w:val="Normal"/>
    <w:link w:val="Heading2Char"/>
    <w:uiPriority w:val="99"/>
    <w:qFormat/>
    <w:rsid w:val="00363C6C"/>
    <w:pPr>
      <w:spacing w:before="161" w:after="161"/>
      <w:outlineLvl w:val="1"/>
    </w:pPr>
    <w:rPr>
      <w:rFonts w:eastAsia="Times New Roman"/>
      <w:color w:val="007CB9"/>
      <w:sz w:val="36"/>
      <w:szCs w:val="36"/>
    </w:rPr>
  </w:style>
  <w:style w:type="paragraph" w:styleId="Heading4">
    <w:name w:val="heading 4"/>
    <w:basedOn w:val="Normal"/>
    <w:next w:val="Normal"/>
    <w:link w:val="Heading4Char"/>
    <w:uiPriority w:val="99"/>
    <w:qFormat/>
    <w:rsid w:val="00363C6C"/>
    <w:pPr>
      <w:keepNext/>
      <w:keepLines/>
      <w:spacing w:before="20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63C6C"/>
    <w:rPr>
      <w:rFonts w:eastAsia="Times New Roman" w:cs="Times New Roman"/>
      <w:color w:val="007CB9"/>
      <w:sz w:val="36"/>
      <w:szCs w:val="36"/>
    </w:rPr>
  </w:style>
  <w:style w:type="character" w:customStyle="1" w:styleId="Heading4Char">
    <w:name w:val="Heading 4 Char"/>
    <w:basedOn w:val="DefaultParagraphFont"/>
    <w:link w:val="Heading4"/>
    <w:uiPriority w:val="99"/>
    <w:locked/>
    <w:rsid w:val="00363C6C"/>
    <w:rPr>
      <w:rFonts w:ascii="Cambria" w:hAnsi="Cambria" w:cs="Times New Roman"/>
      <w:b/>
      <w:bCs/>
      <w:i/>
      <w:iCs/>
      <w:color w:val="4F81BD"/>
    </w:rPr>
  </w:style>
  <w:style w:type="paragraph" w:styleId="BalloonText">
    <w:name w:val="Balloon Text"/>
    <w:basedOn w:val="Normal"/>
    <w:link w:val="BalloonTextChar"/>
    <w:uiPriority w:val="99"/>
    <w:semiHidden/>
    <w:rsid w:val="004F2D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2DE1"/>
    <w:rPr>
      <w:rFonts w:ascii="Tahoma" w:hAnsi="Tahoma" w:cs="Tahoma"/>
      <w:sz w:val="16"/>
      <w:szCs w:val="16"/>
    </w:rPr>
  </w:style>
  <w:style w:type="paragraph" w:styleId="ListParagraph">
    <w:name w:val="List Paragraph"/>
    <w:basedOn w:val="Normal"/>
    <w:uiPriority w:val="99"/>
    <w:qFormat/>
    <w:rsid w:val="00EE1A07"/>
    <w:pPr>
      <w:ind w:left="720"/>
      <w:contextualSpacing/>
    </w:pPr>
  </w:style>
  <w:style w:type="table" w:styleId="TableGrid">
    <w:name w:val="Table Grid"/>
    <w:basedOn w:val="TableNormal"/>
    <w:uiPriority w:val="99"/>
    <w:rsid w:val="00EE1A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C7E9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rsid w:val="00363C6C"/>
    <w:rPr>
      <w:rFonts w:cs="Times New Roman"/>
      <w:color w:val="004F7C"/>
      <w:u w:val="none"/>
      <w:effect w:val="none"/>
    </w:rPr>
  </w:style>
  <w:style w:type="character" w:styleId="Strong">
    <w:name w:val="Strong"/>
    <w:basedOn w:val="DefaultParagraphFont"/>
    <w:uiPriority w:val="99"/>
    <w:qFormat/>
    <w:rsid w:val="00363C6C"/>
    <w:rPr>
      <w:rFonts w:cs="Times New Roman"/>
      <w:b/>
      <w:bCs/>
    </w:rPr>
  </w:style>
  <w:style w:type="paragraph" w:customStyle="1" w:styleId="firstchild">
    <w:name w:val="firstchild"/>
    <w:basedOn w:val="Normal"/>
    <w:uiPriority w:val="99"/>
    <w:rsid w:val="00363C6C"/>
    <w:pPr>
      <w:spacing w:before="100" w:beforeAutospacing="1" w:after="100" w:afterAutospacing="1"/>
    </w:pPr>
    <w:rPr>
      <w:rFonts w:ascii="Times New Roman" w:eastAsia="Times New Roman" w:hAnsi="Times New Roman" w:cs="Times New Roman"/>
      <w:sz w:val="24"/>
      <w:szCs w:val="24"/>
    </w:rPr>
  </w:style>
  <w:style w:type="paragraph" w:customStyle="1" w:styleId="citable">
    <w:name w:val="citable"/>
    <w:basedOn w:val="Normal"/>
    <w:uiPriority w:val="99"/>
    <w:rsid w:val="00363C6C"/>
    <w:pPr>
      <w:spacing w:before="100" w:beforeAutospacing="1" w:after="100" w:afterAutospacing="1"/>
    </w:pPr>
    <w:rPr>
      <w:rFonts w:ascii="Times New Roman" w:eastAsia="Times New Roman" w:hAnsi="Times New Roman" w:cs="Times New Roman"/>
      <w:sz w:val="24"/>
      <w:szCs w:val="24"/>
    </w:rPr>
  </w:style>
  <w:style w:type="character" w:customStyle="1" w:styleId="bodycontent">
    <w:name w:val="bodycontent"/>
    <w:basedOn w:val="DefaultParagraphFont"/>
    <w:uiPriority w:val="99"/>
    <w:rsid w:val="00363C6C"/>
    <w:rPr>
      <w:rFonts w:cs="Times New Roman"/>
    </w:rPr>
  </w:style>
  <w:style w:type="character" w:customStyle="1" w:styleId="grey1">
    <w:name w:val="grey1"/>
    <w:basedOn w:val="DefaultParagraphFont"/>
    <w:uiPriority w:val="99"/>
    <w:rsid w:val="00363C6C"/>
    <w:rPr>
      <w:rFonts w:cs="Times New Roman"/>
      <w:color w:val="666666"/>
    </w:rPr>
  </w:style>
  <w:style w:type="paragraph" w:customStyle="1" w:styleId="Default">
    <w:name w:val="Default"/>
    <w:uiPriority w:val="99"/>
    <w:rsid w:val="00A92E3C"/>
    <w:pPr>
      <w:autoSpaceDE w:val="0"/>
      <w:autoSpaceDN w:val="0"/>
      <w:adjustRightInd w:val="0"/>
    </w:pPr>
    <w:rPr>
      <w:rFonts w:ascii="Minion Pro" w:hAnsi="Minion Pro" w:cs="Minion Pro"/>
      <w:color w:val="000000"/>
      <w:sz w:val="24"/>
      <w:szCs w:val="24"/>
    </w:rPr>
  </w:style>
</w:styles>
</file>

<file path=word/webSettings.xml><?xml version="1.0" encoding="utf-8"?>
<w:webSettings xmlns:r="http://schemas.openxmlformats.org/officeDocument/2006/relationships" xmlns:w="http://schemas.openxmlformats.org/wordprocessingml/2006/main">
  <w:divs>
    <w:div w:id="1267276097">
      <w:marLeft w:val="0"/>
      <w:marRight w:val="0"/>
      <w:marTop w:val="0"/>
      <w:marBottom w:val="0"/>
      <w:divBdr>
        <w:top w:val="none" w:sz="0" w:space="0" w:color="auto"/>
        <w:left w:val="none" w:sz="0" w:space="0" w:color="auto"/>
        <w:bottom w:val="none" w:sz="0" w:space="0" w:color="auto"/>
        <w:right w:val="none" w:sz="0" w:space="0" w:color="auto"/>
      </w:divBdr>
    </w:div>
    <w:div w:id="1267276098">
      <w:marLeft w:val="0"/>
      <w:marRight w:val="0"/>
      <w:marTop w:val="0"/>
      <w:marBottom w:val="0"/>
      <w:divBdr>
        <w:top w:val="none" w:sz="0" w:space="0" w:color="auto"/>
        <w:left w:val="none" w:sz="0" w:space="0" w:color="auto"/>
        <w:bottom w:val="none" w:sz="0" w:space="0" w:color="auto"/>
        <w:right w:val="none" w:sz="0" w:space="0" w:color="auto"/>
      </w:divBdr>
    </w:div>
    <w:div w:id="1267276099">
      <w:marLeft w:val="0"/>
      <w:marRight w:val="0"/>
      <w:marTop w:val="0"/>
      <w:marBottom w:val="0"/>
      <w:divBdr>
        <w:top w:val="none" w:sz="0" w:space="0" w:color="auto"/>
        <w:left w:val="none" w:sz="0" w:space="0" w:color="auto"/>
        <w:bottom w:val="none" w:sz="0" w:space="0" w:color="auto"/>
        <w:right w:val="none" w:sz="0" w:space="0" w:color="auto"/>
      </w:divBdr>
    </w:div>
    <w:div w:id="1267276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cf.org/MajorInitiatives/FamilyEconomicSuccess.aspx" TargetMode="External"/><Relationship Id="rId13" Type="http://schemas.openxmlformats.org/officeDocument/2006/relationships/hyperlink" Target="http://www.mymoney.gov/" TargetMode="External"/><Relationship Id="rId18" Type="http://schemas.openxmlformats.org/officeDocument/2006/relationships/hyperlink" Target="http://www.councilforeconed.org/about/" TargetMode="External"/><Relationship Id="rId26" Type="http://schemas.openxmlformats.org/officeDocument/2006/relationships/hyperlink" Target="http://www.extension.umn.edu/Youth&amp;Money/" TargetMode="External"/><Relationship Id="rId3" Type="http://schemas.openxmlformats.org/officeDocument/2006/relationships/settings" Target="settings.xml"/><Relationship Id="rId21" Type="http://schemas.openxmlformats.org/officeDocument/2006/relationships/hyperlink" Target="http://www.lssmn.org/debt/" TargetMode="External"/><Relationship Id="rId34" Type="http://schemas.openxmlformats.org/officeDocument/2006/relationships/fontTable" Target="fontTable.xml"/><Relationship Id="rId7" Type="http://schemas.openxmlformats.org/officeDocument/2006/relationships/hyperlink" Target="http://www.aecf.org/MajorInitiatives/FamilyEconomicSuccess/WorkforceDevelopment.aspx" TargetMode="External"/><Relationship Id="rId12" Type="http://schemas.openxmlformats.org/officeDocument/2006/relationships/hyperlink" Target="http://cfsinnovation.com/" TargetMode="External"/><Relationship Id="rId17" Type="http://schemas.openxmlformats.org/officeDocument/2006/relationships/hyperlink" Target="http://www2.ed.gov/programs/financialeducation/index.html" TargetMode="External"/><Relationship Id="rId25" Type="http://schemas.openxmlformats.org/officeDocument/2006/relationships/hyperlink" Target="http://www.extension.umn.edu/ResourceManagement/" TargetMode="External"/><Relationship Id="rId33" Type="http://schemas.openxmlformats.org/officeDocument/2006/relationships/hyperlink" Target="http://www.accountabilitymn.org/" TargetMode="External"/><Relationship Id="rId2" Type="http://schemas.openxmlformats.org/officeDocument/2006/relationships/styles" Target="styles.xml"/><Relationship Id="rId16" Type="http://schemas.openxmlformats.org/officeDocument/2006/relationships/hyperlink" Target="http://amser.org/index.php?P=AMSER--ResourceFrame&amp;resourceId=13610" TargetMode="External"/><Relationship Id="rId20" Type="http://schemas.openxmlformats.org/officeDocument/2006/relationships/hyperlink" Target="http://www.minnesotafaim.org/" TargetMode="External"/><Relationship Id="rId29" Type="http://schemas.openxmlformats.org/officeDocument/2006/relationships/hyperlink" Target="http://www.jumpstart.org/states-minnesota.html" TargetMode="External"/><Relationship Id="rId1" Type="http://schemas.openxmlformats.org/officeDocument/2006/relationships/numbering" Target="numbering.xml"/><Relationship Id="rId6" Type="http://schemas.openxmlformats.org/officeDocument/2006/relationships/hyperlink" Target="http://www.aecf.org/MajorInitiatives/FamilyEconomicSuccess/FamilyEconomicSupport.aspx" TargetMode="External"/><Relationship Id="rId11" Type="http://schemas.openxmlformats.org/officeDocument/2006/relationships/hyperlink" Target="http://nefe.org/AboutUs/tabid/56/Default.aspx" TargetMode="External"/><Relationship Id="rId24" Type="http://schemas.openxmlformats.org/officeDocument/2006/relationships/hyperlink" Target="http://www.extension.umn.edu/Finanza/" TargetMode="External"/><Relationship Id="rId32" Type="http://schemas.openxmlformats.org/officeDocument/2006/relationships/hyperlink" Target="http://eastsidefinancialcenter.org/index.html" TargetMode="External"/><Relationship Id="rId5" Type="http://schemas.openxmlformats.org/officeDocument/2006/relationships/hyperlink" Target="http://www.aecf.org/MajorInitiatives/FamilyEconomicSuccess/AssetBuilding.aspx" TargetMode="External"/><Relationship Id="rId15" Type="http://schemas.openxmlformats.org/officeDocument/2006/relationships/hyperlink" Target="http://www.ustreas.gov/offices/domestic-finance/financial-institution/fin-education/" TargetMode="External"/><Relationship Id="rId23" Type="http://schemas.openxmlformats.org/officeDocument/2006/relationships/hyperlink" Target="http://www.extension.umn.edu/FinancialSecurity/" TargetMode="External"/><Relationship Id="rId28" Type="http://schemas.openxmlformats.org/officeDocument/2006/relationships/hyperlink" Target="http://www.unitedwaytwincities.org/ourimpact/increase_earnings.cfm" TargetMode="External"/><Relationship Id="rId10" Type="http://schemas.openxmlformats.org/officeDocument/2006/relationships/hyperlink" Target="http://cfed.org/about/" TargetMode="External"/><Relationship Id="rId19" Type="http://schemas.openxmlformats.org/officeDocument/2006/relationships/hyperlink" Target="http://www.dhs.state.mn.us/main/idcplg?IdcService=GET_DYNAMIC_CONVERSION&amp;RevisionSelectionMethod=LatestReleased&amp;dDocName=id_002882" TargetMode="External"/><Relationship Id="rId31" Type="http://schemas.openxmlformats.org/officeDocument/2006/relationships/hyperlink" Target="http://www.mcee.umn.edu/index.html" TargetMode="External"/><Relationship Id="rId4" Type="http://schemas.openxmlformats.org/officeDocument/2006/relationships/webSettings" Target="webSettings.xml"/><Relationship Id="rId9" Type="http://schemas.openxmlformats.org/officeDocument/2006/relationships/hyperlink" Target="http://www.acf.hhs.gov/programs/ocs/afi/applying.html" TargetMode="External"/><Relationship Id="rId14" Type="http://schemas.openxmlformats.org/officeDocument/2006/relationships/hyperlink" Target="http://www.federalregister.gov/articles/2010/08/26/2010-21305/financial-education-core-competencies-comment-request" TargetMode="External"/><Relationship Id="rId22" Type="http://schemas.openxmlformats.org/officeDocument/2006/relationships/hyperlink" Target="http://www.fpamn.org/index.html" TargetMode="External"/><Relationship Id="rId27" Type="http://schemas.openxmlformats.org/officeDocument/2006/relationships/hyperlink" Target="http://www.extension.umn.edu/Family/" TargetMode="External"/><Relationship Id="rId30" Type="http://schemas.openxmlformats.org/officeDocument/2006/relationships/hyperlink" Target="http://www.jaum.org/"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3329</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MAP OF FINANCIAL: Basic Federal, State &amp; Local</vt:lpstr>
    </vt:vector>
  </TitlesOfParts>
  <Company>GTCUW</Company>
  <LinksUpToDate>false</LinksUpToDate>
  <CharactersWithSpaces>22261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 OF FINANCIAL: Basic Federal, State &amp; Local</dc:title>
  <dc:creator>ferstana</dc:creator>
  <cp:lastModifiedBy>abreneng</cp:lastModifiedBy>
  <cp:revision>2</cp:revision>
  <cp:lastPrinted>2010-10-05T19:05:00Z</cp:lastPrinted>
  <dcterms:created xsi:type="dcterms:W3CDTF">2010-11-01T15:05:00Z</dcterms:created>
  <dcterms:modified xsi:type="dcterms:W3CDTF">2010-11-01T15:05:00Z</dcterms:modified>
</cp:coreProperties>
</file>