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25B55" w14:textId="77777777" w:rsidR="00700133" w:rsidRPr="00044C30" w:rsidRDefault="00700133" w:rsidP="00700133">
      <w:pPr>
        <w:jc w:val="center"/>
        <w:rPr>
          <w:rFonts w:ascii="Times New Roman" w:hAnsi="Times New Roman" w:cs="Times New Roman"/>
          <w:b/>
        </w:rPr>
      </w:pPr>
      <w:r w:rsidRPr="00044C30">
        <w:rPr>
          <w:rFonts w:ascii="Times New Roman" w:hAnsi="Times New Roman" w:cs="Times New Roman"/>
          <w:b/>
        </w:rPr>
        <w:t>Part II Questions and Answers:</w:t>
      </w:r>
    </w:p>
    <w:p w14:paraId="0346B3BC" w14:textId="77777777" w:rsidR="00700133" w:rsidRPr="00044C30" w:rsidRDefault="00700133" w:rsidP="00700133">
      <w:pPr>
        <w:jc w:val="center"/>
        <w:rPr>
          <w:rFonts w:ascii="Times New Roman" w:hAnsi="Times New Roman" w:cs="Times New Roman"/>
          <w:b/>
        </w:rPr>
      </w:pPr>
      <w:r w:rsidRPr="00044C30">
        <w:rPr>
          <w:rFonts w:ascii="Times New Roman" w:hAnsi="Times New Roman" w:cs="Times New Roman"/>
          <w:b/>
        </w:rPr>
        <w:t xml:space="preserve">Health Insurance Portability Accountability Act </w:t>
      </w:r>
    </w:p>
    <w:p w14:paraId="4A69DD55" w14:textId="5D278FF9" w:rsidR="00700133" w:rsidRPr="00044C30" w:rsidRDefault="00700133" w:rsidP="00700133">
      <w:pPr>
        <w:jc w:val="center"/>
        <w:rPr>
          <w:rFonts w:ascii="Times New Roman" w:hAnsi="Times New Roman" w:cs="Times New Roman"/>
          <w:b/>
        </w:rPr>
      </w:pPr>
      <w:r w:rsidRPr="00044C30">
        <w:rPr>
          <w:rFonts w:ascii="Times New Roman" w:hAnsi="Times New Roman" w:cs="Times New Roman"/>
          <w:b/>
        </w:rPr>
        <w:t>and Minnesota Health Records Act</w:t>
      </w:r>
      <w:r w:rsidR="007F43F6">
        <w:rPr>
          <w:rFonts w:ascii="Times New Roman" w:hAnsi="Times New Roman" w:cs="Times New Roman"/>
          <w:b/>
        </w:rPr>
        <w:br/>
      </w:r>
      <w:r w:rsidR="007F43F6" w:rsidRPr="007F43F6">
        <w:rPr>
          <w:rFonts w:ascii="Times New Roman" w:hAnsi="Times New Roman" w:cs="Times New Roman"/>
        </w:rPr>
        <w:t>Prepared by Maren Bardal, Research Assistant, Legislative Commission on Data Practices</w:t>
      </w:r>
    </w:p>
    <w:p w14:paraId="5A5CDBE6" w14:textId="77777777" w:rsidR="00700133" w:rsidRPr="00044C30" w:rsidRDefault="00700133" w:rsidP="00700133">
      <w:pPr>
        <w:rPr>
          <w:rFonts w:ascii="Times New Roman" w:hAnsi="Times New Roman" w:cs="Times New Roman"/>
          <w:b/>
          <w:u w:val="single"/>
        </w:rPr>
      </w:pPr>
    </w:p>
    <w:p w14:paraId="376CE51D" w14:textId="77777777" w:rsidR="00700133" w:rsidRPr="00044C30" w:rsidRDefault="00700133" w:rsidP="00700133">
      <w:pPr>
        <w:rPr>
          <w:rFonts w:ascii="Times New Roman" w:hAnsi="Times New Roman" w:cs="Times New Roman"/>
          <w:b/>
          <w:u w:val="single"/>
        </w:rPr>
      </w:pPr>
      <w:r w:rsidRPr="00044C30">
        <w:rPr>
          <w:rFonts w:ascii="Times New Roman" w:hAnsi="Times New Roman" w:cs="Times New Roman"/>
          <w:b/>
          <w:u w:val="single"/>
        </w:rPr>
        <w:t>Index</w:t>
      </w:r>
      <w:bookmarkStart w:id="0" w:name="_GoBack"/>
      <w:bookmarkEnd w:id="0"/>
    </w:p>
    <w:p w14:paraId="679E6C37" w14:textId="77777777" w:rsidR="00700133" w:rsidRPr="00044C30" w:rsidRDefault="00700133" w:rsidP="00700133">
      <w:pPr>
        <w:rPr>
          <w:rFonts w:ascii="Times New Roman" w:hAnsi="Times New Roman" w:cs="Times New Roman"/>
          <w:b/>
        </w:rPr>
      </w:pPr>
    </w:p>
    <w:p w14:paraId="6FE54A58" w14:textId="77777777" w:rsidR="00572217" w:rsidRPr="00572217" w:rsidRDefault="00700133" w:rsidP="00572217">
      <w:pPr>
        <w:rPr>
          <w:rFonts w:ascii="Times New Roman" w:hAnsi="Times New Roman" w:cs="Times New Roman"/>
        </w:rPr>
      </w:pPr>
      <w:r w:rsidRPr="00044C30">
        <w:rPr>
          <w:rFonts w:ascii="Times New Roman" w:hAnsi="Times New Roman" w:cs="Times New Roman"/>
          <w:b/>
        </w:rPr>
        <w:t>Question 1:</w:t>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t xml:space="preserve">     p. 1</w:t>
      </w:r>
      <w:r w:rsidR="00A031FA">
        <w:rPr>
          <w:rFonts w:ascii="Times New Roman" w:hAnsi="Times New Roman" w:cs="Times New Roman"/>
        </w:rPr>
        <w:br/>
      </w:r>
      <w:r w:rsidR="00572217" w:rsidRPr="00572217">
        <w:rPr>
          <w:rFonts w:ascii="Times New Roman" w:hAnsi="Times New Roman" w:cs="Times New Roman"/>
        </w:rPr>
        <w:t xml:space="preserve">What is the Administrative Simplification provision? </w:t>
      </w:r>
    </w:p>
    <w:p w14:paraId="4A61FCE4" w14:textId="77777777" w:rsidR="00572217" w:rsidRPr="00572217" w:rsidRDefault="00572217" w:rsidP="00572217">
      <w:pPr>
        <w:rPr>
          <w:rFonts w:ascii="Times New Roman" w:hAnsi="Times New Roman" w:cs="Times New Roman"/>
        </w:rPr>
      </w:pPr>
      <w:r w:rsidRPr="00572217">
        <w:rPr>
          <w:rFonts w:ascii="Times New Roman" w:hAnsi="Times New Roman" w:cs="Times New Roman"/>
        </w:rPr>
        <w:t>What is the Security Rule?</w:t>
      </w:r>
    </w:p>
    <w:p w14:paraId="2C2F9876" w14:textId="77777777" w:rsidR="00572217" w:rsidRPr="00572217" w:rsidRDefault="00572217" w:rsidP="00572217">
      <w:pPr>
        <w:rPr>
          <w:rFonts w:ascii="Times New Roman" w:hAnsi="Times New Roman" w:cs="Times New Roman"/>
        </w:rPr>
      </w:pPr>
      <w:r w:rsidRPr="00572217">
        <w:rPr>
          <w:rFonts w:ascii="Times New Roman" w:hAnsi="Times New Roman" w:cs="Times New Roman"/>
        </w:rPr>
        <w:t>Are either used to determine the minimum necessary standard?</w:t>
      </w:r>
    </w:p>
    <w:p w14:paraId="1CC255C4" w14:textId="0ADA330E" w:rsidR="00700133" w:rsidRPr="00044C30" w:rsidRDefault="00700133" w:rsidP="00572217">
      <w:pPr>
        <w:rPr>
          <w:rFonts w:ascii="Times New Roman" w:hAnsi="Times New Roman" w:cs="Times New Roman"/>
          <w:b/>
        </w:rPr>
      </w:pPr>
    </w:p>
    <w:p w14:paraId="66610B94" w14:textId="77777777" w:rsidR="00700133" w:rsidRPr="00044C30" w:rsidRDefault="00700133" w:rsidP="00700133">
      <w:pPr>
        <w:rPr>
          <w:rFonts w:ascii="Times New Roman" w:hAnsi="Times New Roman" w:cs="Times New Roman"/>
          <w:b/>
        </w:rPr>
      </w:pPr>
      <w:r w:rsidRPr="00044C30">
        <w:rPr>
          <w:rFonts w:ascii="Times New Roman" w:hAnsi="Times New Roman" w:cs="Times New Roman"/>
          <w:b/>
        </w:rPr>
        <w:t>Question 2:</w:t>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t xml:space="preserve">     p. 2</w:t>
      </w:r>
    </w:p>
    <w:p w14:paraId="36154BDF" w14:textId="77777777" w:rsidR="005C1349" w:rsidRPr="005C1349" w:rsidRDefault="005C1349" w:rsidP="005C1349">
      <w:pPr>
        <w:rPr>
          <w:rFonts w:ascii="Times New Roman" w:hAnsi="Times New Roman" w:cs="Times New Roman"/>
        </w:rPr>
      </w:pPr>
      <w:r w:rsidRPr="005C1349">
        <w:rPr>
          <w:rFonts w:ascii="Times New Roman" w:hAnsi="Times New Roman" w:cs="Times New Roman"/>
        </w:rPr>
        <w:t>What are duplicate tests, are there legitimate needs for duplicate testing?</w:t>
      </w:r>
    </w:p>
    <w:p w14:paraId="6A0C6C79" w14:textId="77777777" w:rsidR="005C1349" w:rsidRPr="005C1349" w:rsidRDefault="005C1349" w:rsidP="005C1349">
      <w:pPr>
        <w:rPr>
          <w:rFonts w:ascii="Times New Roman" w:hAnsi="Times New Roman" w:cs="Times New Roman"/>
        </w:rPr>
      </w:pPr>
      <w:r w:rsidRPr="005C1349">
        <w:rPr>
          <w:rFonts w:ascii="Times New Roman" w:hAnsi="Times New Roman" w:cs="Times New Roman"/>
        </w:rPr>
        <w:t>Would eliminating patient privacy and consent rights eliminate duplicate testing in Minnesota?</w:t>
      </w:r>
    </w:p>
    <w:p w14:paraId="16B2A077" w14:textId="77777777" w:rsidR="00700133" w:rsidRPr="00044C30" w:rsidRDefault="00700133" w:rsidP="00700133">
      <w:pPr>
        <w:rPr>
          <w:rFonts w:ascii="Times New Roman" w:hAnsi="Times New Roman" w:cs="Times New Roman"/>
        </w:rPr>
      </w:pPr>
    </w:p>
    <w:p w14:paraId="5DC2B43E" w14:textId="0A0F917F" w:rsidR="00700133" w:rsidRPr="00044C30" w:rsidRDefault="00D04D6A" w:rsidP="00700133">
      <w:pPr>
        <w:rPr>
          <w:rFonts w:ascii="Times New Roman" w:hAnsi="Times New Roman" w:cs="Times New Roman"/>
          <w:b/>
        </w:rPr>
      </w:pPr>
      <w:r>
        <w:rPr>
          <w:rFonts w:ascii="Times New Roman" w:hAnsi="Times New Roman" w:cs="Times New Roman"/>
          <w:b/>
        </w:rPr>
        <w:t xml:space="preserve">Question 3: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 5</w:t>
      </w:r>
    </w:p>
    <w:p w14:paraId="1189A583" w14:textId="77777777" w:rsidR="00700133" w:rsidRPr="00044C30" w:rsidRDefault="00700133" w:rsidP="00700133">
      <w:pPr>
        <w:rPr>
          <w:rFonts w:ascii="Times New Roman" w:hAnsi="Times New Roman" w:cs="Times New Roman"/>
          <w:color w:val="FF0000"/>
        </w:rPr>
      </w:pPr>
      <w:r w:rsidRPr="00044C30">
        <w:rPr>
          <w:rFonts w:ascii="Times New Roman" w:hAnsi="Times New Roman" w:cs="Times New Roman"/>
        </w:rPr>
        <w:t xml:space="preserve">According to the federal government, how many entities could have access to a patient’s medical record information without their consent? </w:t>
      </w:r>
    </w:p>
    <w:p w14:paraId="689F5726" w14:textId="77777777" w:rsidR="00700133" w:rsidRPr="00044C30" w:rsidRDefault="00700133" w:rsidP="00700133">
      <w:pPr>
        <w:rPr>
          <w:rFonts w:ascii="Times New Roman" w:hAnsi="Times New Roman" w:cs="Times New Roman"/>
        </w:rPr>
      </w:pPr>
    </w:p>
    <w:p w14:paraId="43DF2E5D" w14:textId="77777777" w:rsidR="00700133" w:rsidRPr="00044C30" w:rsidRDefault="00700133" w:rsidP="00700133">
      <w:pPr>
        <w:rPr>
          <w:rFonts w:ascii="Times New Roman" w:hAnsi="Times New Roman" w:cs="Times New Roman"/>
          <w:b/>
        </w:rPr>
      </w:pPr>
      <w:r w:rsidRPr="00044C30">
        <w:rPr>
          <w:rFonts w:ascii="Times New Roman" w:hAnsi="Times New Roman" w:cs="Times New Roman"/>
          <w:b/>
        </w:rPr>
        <w:t xml:space="preserve">Question 4: </w:t>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t xml:space="preserve">     p. </w:t>
      </w:r>
      <w:r>
        <w:rPr>
          <w:rFonts w:ascii="Times New Roman" w:hAnsi="Times New Roman" w:cs="Times New Roman"/>
          <w:b/>
        </w:rPr>
        <w:t>8</w:t>
      </w:r>
    </w:p>
    <w:p w14:paraId="64026C4A" w14:textId="77777777" w:rsidR="00700133" w:rsidRPr="00044C30" w:rsidRDefault="00700133" w:rsidP="00700133">
      <w:pPr>
        <w:rPr>
          <w:rFonts w:ascii="Times New Roman" w:hAnsi="Times New Roman" w:cs="Times New Roman"/>
        </w:rPr>
      </w:pPr>
      <w:r w:rsidRPr="00044C30">
        <w:rPr>
          <w:rFonts w:ascii="Times New Roman" w:hAnsi="Times New Roman" w:cs="Times New Roman"/>
        </w:rPr>
        <w:t xml:space="preserve">Is HIPAA a privacy rule or a disclosure rule? </w:t>
      </w:r>
    </w:p>
    <w:p w14:paraId="4C01502A" w14:textId="77777777" w:rsidR="00700133" w:rsidRPr="00044C30" w:rsidRDefault="00700133" w:rsidP="00700133">
      <w:pPr>
        <w:rPr>
          <w:rFonts w:ascii="Times New Roman" w:hAnsi="Times New Roman" w:cs="Times New Roman"/>
        </w:rPr>
      </w:pPr>
      <w:r w:rsidRPr="00044C30">
        <w:rPr>
          <w:rFonts w:ascii="Times New Roman" w:hAnsi="Times New Roman" w:cs="Times New Roman"/>
        </w:rPr>
        <w:t>For what kind of sharing is consent required?</w:t>
      </w:r>
    </w:p>
    <w:p w14:paraId="696D29B5" w14:textId="77777777" w:rsidR="00700133" w:rsidRPr="00044C30" w:rsidRDefault="00700133" w:rsidP="00700133">
      <w:pPr>
        <w:rPr>
          <w:rFonts w:ascii="Times New Roman" w:hAnsi="Times New Roman" w:cs="Times New Roman"/>
        </w:rPr>
      </w:pPr>
    </w:p>
    <w:p w14:paraId="1BE5E56A" w14:textId="14B10BBE" w:rsidR="00700133" w:rsidRPr="00044C30" w:rsidRDefault="00700133" w:rsidP="00700133">
      <w:pPr>
        <w:rPr>
          <w:rFonts w:ascii="Times New Roman" w:hAnsi="Times New Roman" w:cs="Times New Roman"/>
          <w:b/>
        </w:rPr>
      </w:pPr>
      <w:r w:rsidRPr="00044C30">
        <w:rPr>
          <w:rFonts w:ascii="Times New Roman" w:hAnsi="Times New Roman" w:cs="Times New Roman"/>
          <w:b/>
        </w:rPr>
        <w:t xml:space="preserve">Question 5: </w:t>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r>
      <w:r w:rsidRPr="00044C30">
        <w:rPr>
          <w:rFonts w:ascii="Times New Roman" w:hAnsi="Times New Roman" w:cs="Times New Roman"/>
          <w:b/>
        </w:rPr>
        <w:tab/>
        <w:t xml:space="preserve">     p. </w:t>
      </w:r>
      <w:r w:rsidR="00726ECD">
        <w:rPr>
          <w:rFonts w:ascii="Times New Roman" w:hAnsi="Times New Roman" w:cs="Times New Roman"/>
          <w:b/>
        </w:rPr>
        <w:t>8</w:t>
      </w:r>
    </w:p>
    <w:p w14:paraId="5D9ED31F" w14:textId="447566C0" w:rsidR="00700133" w:rsidRPr="00044C30" w:rsidRDefault="00700133" w:rsidP="00700133">
      <w:pPr>
        <w:rPr>
          <w:rFonts w:ascii="Times New Roman" w:hAnsi="Times New Roman" w:cs="Times New Roman"/>
        </w:rPr>
      </w:pPr>
      <w:r w:rsidRPr="00044C30">
        <w:rPr>
          <w:rFonts w:ascii="Times New Roman" w:hAnsi="Times New Roman" w:cs="Times New Roman"/>
        </w:rPr>
        <w:t xml:space="preserve">How can penalties and rights for patients be more enhanced/enforced on a state level when there are violations of privacy rather than relying on making a complaint to </w:t>
      </w:r>
      <w:r w:rsidR="008D16DA">
        <w:rPr>
          <w:rFonts w:ascii="Times New Roman" w:hAnsi="Times New Roman" w:cs="Times New Roman"/>
        </w:rPr>
        <w:t>the Office for Civil Rights</w:t>
      </w:r>
      <w:r w:rsidRPr="00044C30">
        <w:rPr>
          <w:rFonts w:ascii="Times New Roman" w:hAnsi="Times New Roman" w:cs="Times New Roman"/>
        </w:rPr>
        <w:t xml:space="preserve">? </w:t>
      </w:r>
    </w:p>
    <w:p w14:paraId="204C7036" w14:textId="2550F530" w:rsidR="00700133" w:rsidRPr="00044C30" w:rsidRDefault="00700133" w:rsidP="00700133">
      <w:pPr>
        <w:rPr>
          <w:rFonts w:ascii="Times New Roman" w:hAnsi="Times New Roman" w:cs="Times New Roman"/>
          <w:color w:val="FF0000"/>
        </w:rPr>
      </w:pPr>
    </w:p>
    <w:p w14:paraId="2F799325" w14:textId="5819D508" w:rsidR="00700133" w:rsidRPr="00044C30" w:rsidRDefault="00D63D9D" w:rsidP="00700133">
      <w:pPr>
        <w:rPr>
          <w:rFonts w:ascii="Times New Roman" w:hAnsi="Times New Roman" w:cs="Times New Roman"/>
          <w:b/>
        </w:rPr>
      </w:pPr>
      <w:r>
        <w:rPr>
          <w:rFonts w:ascii="Times New Roman" w:hAnsi="Times New Roman" w:cs="Times New Roman"/>
          <w:b/>
        </w:rPr>
        <w:t>Question 6</w:t>
      </w:r>
      <w:r w:rsidR="00700133" w:rsidRPr="00044C30">
        <w:rPr>
          <w:rFonts w:ascii="Times New Roman" w:hAnsi="Times New Roman" w:cs="Times New Roman"/>
          <w:b/>
        </w:rPr>
        <w:t>:</w:t>
      </w:r>
      <w:r w:rsidR="00700133">
        <w:rPr>
          <w:rFonts w:ascii="Times New Roman" w:hAnsi="Times New Roman" w:cs="Times New Roman"/>
          <w:b/>
        </w:rPr>
        <w:t xml:space="preserve"> </w:t>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t xml:space="preserve">  </w:t>
      </w:r>
      <w:r w:rsidR="00700133" w:rsidRPr="00044C30">
        <w:rPr>
          <w:rFonts w:ascii="Times New Roman" w:hAnsi="Times New Roman" w:cs="Times New Roman"/>
          <w:b/>
        </w:rPr>
        <w:t xml:space="preserve"> p.</w:t>
      </w:r>
      <w:r w:rsidR="00700133">
        <w:rPr>
          <w:rFonts w:ascii="Times New Roman" w:hAnsi="Times New Roman" w:cs="Times New Roman"/>
          <w:b/>
        </w:rPr>
        <w:t xml:space="preserve"> 17</w:t>
      </w:r>
    </w:p>
    <w:p w14:paraId="660ECFE0" w14:textId="77777777" w:rsidR="00700133" w:rsidRDefault="00700133" w:rsidP="00700133">
      <w:pPr>
        <w:rPr>
          <w:rFonts w:ascii="Times New Roman" w:hAnsi="Times New Roman" w:cs="Times New Roman"/>
        </w:rPr>
      </w:pPr>
      <w:r w:rsidRPr="00044C30">
        <w:rPr>
          <w:rFonts w:ascii="Times New Roman" w:hAnsi="Times New Roman" w:cs="Times New Roman"/>
        </w:rPr>
        <w:t>Does HIPAA require an accounting of disclosures for every disclosure of their information, including for research, payment, treatment</w:t>
      </w:r>
      <w:r w:rsidRPr="009D0267">
        <w:rPr>
          <w:rFonts w:ascii="Times New Roman" w:hAnsi="Times New Roman" w:cs="Times New Roman"/>
        </w:rPr>
        <w:t>,</w:t>
      </w:r>
      <w:r>
        <w:rPr>
          <w:rFonts w:ascii="Times New Roman" w:hAnsi="Times New Roman" w:cs="Times New Roman"/>
        </w:rPr>
        <w:t xml:space="preserve"> health care operations, and</w:t>
      </w:r>
      <w:r w:rsidRPr="009D0267">
        <w:rPr>
          <w:rFonts w:ascii="Times New Roman" w:hAnsi="Times New Roman" w:cs="Times New Roman"/>
        </w:rPr>
        <w:t xml:space="preserve"> the 12 national priority purposes</w:t>
      </w:r>
      <w:r>
        <w:rPr>
          <w:rFonts w:ascii="Times New Roman" w:hAnsi="Times New Roman" w:cs="Times New Roman"/>
        </w:rPr>
        <w:t>?</w:t>
      </w:r>
    </w:p>
    <w:p w14:paraId="6149B19E" w14:textId="77777777" w:rsidR="00700133" w:rsidRPr="00044C30" w:rsidRDefault="00700133" w:rsidP="00700133">
      <w:pPr>
        <w:rPr>
          <w:rFonts w:ascii="Times New Roman" w:hAnsi="Times New Roman" w:cs="Times New Roman"/>
        </w:rPr>
      </w:pPr>
    </w:p>
    <w:p w14:paraId="632FF428" w14:textId="024AA394" w:rsidR="00700133" w:rsidRPr="00044C30" w:rsidRDefault="00700133" w:rsidP="00700133">
      <w:pPr>
        <w:rPr>
          <w:rFonts w:ascii="Times New Roman" w:hAnsi="Times New Roman" w:cs="Times New Roman"/>
        </w:rPr>
      </w:pPr>
      <w:r w:rsidRPr="00044C30">
        <w:rPr>
          <w:rFonts w:ascii="Times New Roman" w:hAnsi="Times New Roman" w:cs="Times New Roman"/>
          <w:b/>
        </w:rPr>
        <w:t xml:space="preserve">Question </w:t>
      </w:r>
      <w:r w:rsidR="00D63D9D">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044C30">
        <w:rPr>
          <w:rFonts w:ascii="Times New Roman" w:hAnsi="Times New Roman" w:cs="Times New Roman"/>
          <w:b/>
        </w:rPr>
        <w:t xml:space="preserve"> p.</w:t>
      </w:r>
      <w:r w:rsidR="002F44B7">
        <w:rPr>
          <w:rFonts w:ascii="Times New Roman" w:hAnsi="Times New Roman" w:cs="Times New Roman"/>
          <w:b/>
        </w:rPr>
        <w:t xml:space="preserve"> 18</w:t>
      </w:r>
    </w:p>
    <w:p w14:paraId="41B682BD" w14:textId="1AAF2EBE" w:rsidR="00700133" w:rsidRDefault="00700133" w:rsidP="00700133">
      <w:pPr>
        <w:rPr>
          <w:rFonts w:ascii="Times New Roman" w:hAnsi="Times New Roman" w:cs="Times New Roman"/>
        </w:rPr>
      </w:pPr>
      <w:r w:rsidRPr="00044C30">
        <w:rPr>
          <w:rFonts w:ascii="Times New Roman" w:hAnsi="Times New Roman" w:cs="Times New Roman"/>
        </w:rPr>
        <w:lastRenderedPageBreak/>
        <w:t>If the data is de</w:t>
      </w:r>
      <w:r>
        <w:rPr>
          <w:rFonts w:ascii="Times New Roman" w:hAnsi="Times New Roman" w:cs="Times New Roman"/>
        </w:rPr>
        <w:t>-</w:t>
      </w:r>
      <w:r w:rsidRPr="00044C30">
        <w:rPr>
          <w:rFonts w:ascii="Times New Roman" w:hAnsi="Times New Roman" w:cs="Times New Roman"/>
        </w:rPr>
        <w:t>identified under HIPAA</w:t>
      </w:r>
      <w:r w:rsidR="0048263E">
        <w:rPr>
          <w:rFonts w:ascii="Times New Roman" w:hAnsi="Times New Roman" w:cs="Times New Roman"/>
        </w:rPr>
        <w:t>,</w:t>
      </w:r>
      <w:r w:rsidRPr="00044C30">
        <w:rPr>
          <w:rFonts w:ascii="Times New Roman" w:hAnsi="Times New Roman" w:cs="Times New Roman"/>
        </w:rPr>
        <w:t xml:space="preserve"> is it still considered protected health information (PHI) and subject to the federal HIPAA rule?</w:t>
      </w:r>
      <w:r>
        <w:rPr>
          <w:rFonts w:ascii="Times New Roman" w:hAnsi="Times New Roman" w:cs="Times New Roman"/>
        </w:rPr>
        <w:t xml:space="preserve"> </w:t>
      </w:r>
    </w:p>
    <w:p w14:paraId="3E8B82B1" w14:textId="248D6D8A" w:rsidR="00700133" w:rsidRDefault="00700133" w:rsidP="00700133">
      <w:pPr>
        <w:rPr>
          <w:rFonts w:ascii="Times New Roman" w:hAnsi="Times New Roman" w:cs="Times New Roman"/>
        </w:rPr>
      </w:pPr>
      <w:r>
        <w:rPr>
          <w:rFonts w:ascii="Times New Roman" w:hAnsi="Times New Roman" w:cs="Times New Roman"/>
        </w:rPr>
        <w:t>Are patients informed when their PHI is de-identified?</w:t>
      </w:r>
    </w:p>
    <w:p w14:paraId="092193B3" w14:textId="67610CA1" w:rsidR="00700133" w:rsidRPr="00044C30" w:rsidRDefault="00700133" w:rsidP="00700133">
      <w:pPr>
        <w:rPr>
          <w:rFonts w:ascii="Times New Roman" w:hAnsi="Times New Roman" w:cs="Times New Roman"/>
        </w:rPr>
      </w:pPr>
    </w:p>
    <w:p w14:paraId="682BF3DF" w14:textId="1687E9EA" w:rsidR="00700133" w:rsidRPr="00044C30" w:rsidRDefault="00D63D9D" w:rsidP="00700133">
      <w:pPr>
        <w:rPr>
          <w:rFonts w:ascii="Times New Roman" w:hAnsi="Times New Roman" w:cs="Times New Roman"/>
          <w:b/>
        </w:rPr>
      </w:pPr>
      <w:r>
        <w:rPr>
          <w:rFonts w:ascii="Times New Roman" w:hAnsi="Times New Roman" w:cs="Times New Roman"/>
          <w:b/>
        </w:rPr>
        <w:t>Question 8</w:t>
      </w:r>
      <w:r w:rsidR="00700133">
        <w:rPr>
          <w:rFonts w:ascii="Times New Roman" w:hAnsi="Times New Roman" w:cs="Times New Roman"/>
          <w:b/>
        </w:rPr>
        <w:t xml:space="preserve">: </w:t>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t xml:space="preserve">   </w:t>
      </w:r>
      <w:r w:rsidR="00700133" w:rsidRPr="00044C30">
        <w:rPr>
          <w:rFonts w:ascii="Times New Roman" w:hAnsi="Times New Roman" w:cs="Times New Roman"/>
          <w:b/>
        </w:rPr>
        <w:t>p.</w:t>
      </w:r>
      <w:r w:rsidR="002F44B7">
        <w:rPr>
          <w:rFonts w:ascii="Times New Roman" w:hAnsi="Times New Roman" w:cs="Times New Roman"/>
          <w:b/>
        </w:rPr>
        <w:t xml:space="preserve"> 19</w:t>
      </w:r>
    </w:p>
    <w:p w14:paraId="2BFE7380" w14:textId="25D47EBB" w:rsidR="001026A7" w:rsidRPr="00044C30" w:rsidRDefault="00700133" w:rsidP="00700133">
      <w:pPr>
        <w:rPr>
          <w:rFonts w:ascii="Times New Roman" w:hAnsi="Times New Roman" w:cs="Times New Roman"/>
        </w:rPr>
      </w:pPr>
      <w:r w:rsidRPr="00044C30">
        <w:rPr>
          <w:rFonts w:ascii="Times New Roman" w:hAnsi="Times New Roman" w:cs="Times New Roman"/>
        </w:rPr>
        <w:t>If Minnesota reverts to the “HIPAA data-sharing standard” how will patients be informed that they no longer have the privacy rights and consent</w:t>
      </w:r>
      <w:r w:rsidR="001026A7">
        <w:rPr>
          <w:rFonts w:ascii="Times New Roman" w:hAnsi="Times New Roman" w:cs="Times New Roman"/>
        </w:rPr>
        <w:t xml:space="preserve"> requirements?</w:t>
      </w:r>
    </w:p>
    <w:p w14:paraId="644A6CDD" w14:textId="77777777" w:rsidR="00700133" w:rsidRPr="00044C30" w:rsidRDefault="00700133" w:rsidP="00700133">
      <w:pPr>
        <w:rPr>
          <w:rFonts w:ascii="Times New Roman" w:hAnsi="Times New Roman" w:cs="Times New Roman"/>
          <w:b/>
        </w:rPr>
      </w:pPr>
    </w:p>
    <w:p w14:paraId="163F4882" w14:textId="34882334" w:rsidR="00700133" w:rsidRPr="00044C30" w:rsidRDefault="00D63D9D" w:rsidP="00700133">
      <w:pPr>
        <w:rPr>
          <w:rFonts w:ascii="Times New Roman" w:hAnsi="Times New Roman" w:cs="Times New Roman"/>
          <w:b/>
        </w:rPr>
      </w:pPr>
      <w:r>
        <w:rPr>
          <w:rFonts w:ascii="Times New Roman" w:hAnsi="Times New Roman" w:cs="Times New Roman"/>
          <w:b/>
        </w:rPr>
        <w:t>Question 9</w:t>
      </w:r>
      <w:r w:rsidR="00700133">
        <w:rPr>
          <w:rFonts w:ascii="Times New Roman" w:hAnsi="Times New Roman" w:cs="Times New Roman"/>
          <w:b/>
        </w:rPr>
        <w:t xml:space="preserve">: </w:t>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t xml:space="preserve">  </w:t>
      </w:r>
      <w:r w:rsidR="00700133" w:rsidRPr="00044C30">
        <w:rPr>
          <w:rFonts w:ascii="Times New Roman" w:hAnsi="Times New Roman" w:cs="Times New Roman"/>
          <w:b/>
        </w:rPr>
        <w:t xml:space="preserve"> p.</w:t>
      </w:r>
      <w:r w:rsidR="00700133">
        <w:rPr>
          <w:rFonts w:ascii="Times New Roman" w:hAnsi="Times New Roman" w:cs="Times New Roman"/>
          <w:b/>
        </w:rPr>
        <w:t xml:space="preserve"> 20</w:t>
      </w:r>
    </w:p>
    <w:p w14:paraId="68F71BC2" w14:textId="2BEB63C6" w:rsidR="007026B5" w:rsidRPr="00044C30" w:rsidRDefault="00700133" w:rsidP="00700133">
      <w:pPr>
        <w:rPr>
          <w:rFonts w:ascii="Times New Roman" w:hAnsi="Times New Roman" w:cs="Times New Roman"/>
          <w:color w:val="FF0000"/>
        </w:rPr>
      </w:pPr>
      <w:r w:rsidRPr="00044C30">
        <w:rPr>
          <w:rFonts w:ascii="Times New Roman" w:hAnsi="Times New Roman" w:cs="Times New Roman"/>
        </w:rPr>
        <w:t>What do hospitals, clinics, physicians, and providers currently do when a patient does not give consent for sharing of personal health information for treatment, payment, and operations?</w:t>
      </w:r>
      <w:r w:rsidRPr="00044C30">
        <w:rPr>
          <w:rFonts w:ascii="Times New Roman" w:hAnsi="Times New Roman" w:cs="Times New Roman"/>
          <w:color w:val="FF0000"/>
        </w:rPr>
        <w:t xml:space="preserve"> </w:t>
      </w:r>
    </w:p>
    <w:p w14:paraId="25A09C43" w14:textId="77777777" w:rsidR="00700133" w:rsidRPr="00044C30" w:rsidRDefault="00700133" w:rsidP="00700133">
      <w:pPr>
        <w:rPr>
          <w:rFonts w:ascii="Times New Roman" w:hAnsi="Times New Roman" w:cs="Times New Roman"/>
          <w:b/>
        </w:rPr>
      </w:pPr>
    </w:p>
    <w:p w14:paraId="1D977761" w14:textId="10396934" w:rsidR="00700133" w:rsidRPr="00044C30" w:rsidRDefault="00D63D9D" w:rsidP="00700133">
      <w:pPr>
        <w:rPr>
          <w:rFonts w:ascii="Times New Roman" w:hAnsi="Times New Roman" w:cs="Times New Roman"/>
        </w:rPr>
      </w:pPr>
      <w:r>
        <w:rPr>
          <w:rFonts w:ascii="Times New Roman" w:hAnsi="Times New Roman" w:cs="Times New Roman"/>
          <w:b/>
        </w:rPr>
        <w:t>Question 10</w:t>
      </w:r>
      <w:r w:rsidR="00700133">
        <w:rPr>
          <w:rFonts w:ascii="Times New Roman" w:hAnsi="Times New Roman" w:cs="Times New Roman"/>
          <w:b/>
        </w:rPr>
        <w:t xml:space="preserve">: </w:t>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t xml:space="preserve">   </w:t>
      </w:r>
      <w:r w:rsidR="00700133" w:rsidRPr="00044C30">
        <w:rPr>
          <w:rFonts w:ascii="Times New Roman" w:hAnsi="Times New Roman" w:cs="Times New Roman"/>
          <w:b/>
        </w:rPr>
        <w:t>p.</w:t>
      </w:r>
      <w:r w:rsidR="005079CE">
        <w:rPr>
          <w:rFonts w:ascii="Times New Roman" w:hAnsi="Times New Roman" w:cs="Times New Roman"/>
          <w:b/>
        </w:rPr>
        <w:t xml:space="preserve"> 20</w:t>
      </w:r>
    </w:p>
    <w:p w14:paraId="56CB9130" w14:textId="77777777" w:rsidR="00700133" w:rsidRPr="00044C30" w:rsidRDefault="00700133" w:rsidP="00700133">
      <w:pPr>
        <w:rPr>
          <w:rFonts w:ascii="Times New Roman" w:hAnsi="Times New Roman" w:cs="Times New Roman"/>
        </w:rPr>
      </w:pPr>
      <w:r w:rsidRPr="00044C30">
        <w:rPr>
          <w:rFonts w:ascii="Times New Roman" w:hAnsi="Times New Roman" w:cs="Times New Roman"/>
        </w:rPr>
        <w:t xml:space="preserve">How many hospital and clinic consent forms include consent for data-sharing on the same form as the consent for treatment? Is there one signature or separate signatures? </w:t>
      </w:r>
    </w:p>
    <w:p w14:paraId="5A8DCD2E" w14:textId="77777777" w:rsidR="00700133" w:rsidRPr="00044C30" w:rsidRDefault="00700133" w:rsidP="00700133">
      <w:pPr>
        <w:rPr>
          <w:rFonts w:ascii="Times New Roman" w:hAnsi="Times New Roman" w:cs="Times New Roman"/>
        </w:rPr>
      </w:pPr>
    </w:p>
    <w:p w14:paraId="0D054963" w14:textId="377D7B88" w:rsidR="00700133" w:rsidRPr="00044C30" w:rsidRDefault="00D63D9D" w:rsidP="00700133">
      <w:pPr>
        <w:rPr>
          <w:rFonts w:ascii="Times New Roman" w:hAnsi="Times New Roman" w:cs="Times New Roman"/>
        </w:rPr>
      </w:pPr>
      <w:r>
        <w:rPr>
          <w:rFonts w:ascii="Times New Roman" w:hAnsi="Times New Roman" w:cs="Times New Roman"/>
          <w:b/>
        </w:rPr>
        <w:t>Question 11</w:t>
      </w:r>
      <w:r w:rsidR="00700133">
        <w:rPr>
          <w:rFonts w:ascii="Times New Roman" w:hAnsi="Times New Roman" w:cs="Times New Roman"/>
          <w:b/>
        </w:rPr>
        <w:t xml:space="preserve">: </w:t>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r>
      <w:r w:rsidR="00700133">
        <w:rPr>
          <w:rFonts w:ascii="Times New Roman" w:hAnsi="Times New Roman" w:cs="Times New Roman"/>
          <w:b/>
        </w:rPr>
        <w:tab/>
        <w:t xml:space="preserve">   </w:t>
      </w:r>
      <w:r w:rsidR="00700133" w:rsidRPr="00044C30">
        <w:rPr>
          <w:rFonts w:ascii="Times New Roman" w:hAnsi="Times New Roman" w:cs="Times New Roman"/>
          <w:b/>
        </w:rPr>
        <w:t>p.</w:t>
      </w:r>
      <w:r w:rsidR="00700133">
        <w:rPr>
          <w:rFonts w:ascii="Times New Roman" w:hAnsi="Times New Roman" w:cs="Times New Roman"/>
          <w:b/>
        </w:rPr>
        <w:t xml:space="preserve"> 21</w:t>
      </w:r>
    </w:p>
    <w:p w14:paraId="38633816" w14:textId="77777777" w:rsidR="00794456" w:rsidRPr="00204B02" w:rsidRDefault="00794456" w:rsidP="00794456">
      <w:pPr>
        <w:rPr>
          <w:rFonts w:ascii="Times New Roman" w:hAnsi="Times New Roman" w:cs="Times New Roman"/>
        </w:rPr>
      </w:pPr>
      <w:r w:rsidRPr="00204B02">
        <w:rPr>
          <w:rFonts w:ascii="Times New Roman" w:hAnsi="Times New Roman" w:cs="Times New Roman"/>
        </w:rPr>
        <w:t>Who were the "national organizations" contacted for the Care Coordination Measures Atlas (and the updated Atlas) and what info</w:t>
      </w:r>
      <w:r>
        <w:rPr>
          <w:rFonts w:ascii="Times New Roman" w:hAnsi="Times New Roman" w:cs="Times New Roman"/>
        </w:rPr>
        <w:t>rmation</w:t>
      </w:r>
      <w:r w:rsidRPr="00204B02">
        <w:rPr>
          <w:rFonts w:ascii="Times New Roman" w:hAnsi="Times New Roman" w:cs="Times New Roman"/>
        </w:rPr>
        <w:t xml:space="preserve"> did they provide?</w:t>
      </w:r>
    </w:p>
    <w:p w14:paraId="516B78BC" w14:textId="77777777" w:rsidR="00794456" w:rsidRDefault="00794456" w:rsidP="00794456">
      <w:pPr>
        <w:rPr>
          <w:rFonts w:ascii="Times New Roman" w:hAnsi="Times New Roman" w:cs="Times New Roman"/>
        </w:rPr>
        <w:sectPr w:rsidR="00794456" w:rsidSect="00226000">
          <w:footerReference w:type="first" r:id="rId8"/>
          <w:pgSz w:w="12240" w:h="15840"/>
          <w:pgMar w:top="1440" w:right="1440" w:bottom="1440" w:left="1440" w:header="720" w:footer="720" w:gutter="0"/>
          <w:pgNumType w:start="1"/>
          <w:cols w:space="720"/>
          <w:docGrid w:linePitch="360"/>
        </w:sectPr>
      </w:pPr>
      <w:r>
        <w:rPr>
          <w:rFonts w:ascii="Times New Roman" w:hAnsi="Times New Roman" w:cs="Times New Roman"/>
        </w:rPr>
        <w:t>Did any Minnesota</w:t>
      </w:r>
      <w:r w:rsidRPr="00204B02">
        <w:rPr>
          <w:rFonts w:ascii="Times New Roman" w:hAnsi="Times New Roman" w:cs="Times New Roman"/>
        </w:rPr>
        <w:t xml:space="preserve"> providers or companies participate/provide info toward development of the Atlas</w:t>
      </w:r>
      <w:r>
        <w:rPr>
          <w:rFonts w:ascii="Times New Roman" w:hAnsi="Times New Roman" w:cs="Times New Roman"/>
        </w:rPr>
        <w:t>?</w:t>
      </w:r>
    </w:p>
    <w:p w14:paraId="14720C32" w14:textId="44A91AA9" w:rsidR="00ED6BBA" w:rsidRPr="00044C30" w:rsidRDefault="00ED6BBA" w:rsidP="00083D5B">
      <w:pPr>
        <w:rPr>
          <w:rFonts w:ascii="Times New Roman" w:hAnsi="Times New Roman" w:cs="Times New Roman"/>
          <w:b/>
        </w:rPr>
      </w:pPr>
      <w:r w:rsidRPr="00044C30">
        <w:rPr>
          <w:rFonts w:ascii="Times New Roman" w:hAnsi="Times New Roman" w:cs="Times New Roman"/>
          <w:b/>
        </w:rPr>
        <w:lastRenderedPageBreak/>
        <w:t>Question 1:</w:t>
      </w:r>
    </w:p>
    <w:p w14:paraId="764A8851" w14:textId="77777777" w:rsidR="00ED6BBA" w:rsidRPr="00044C30" w:rsidRDefault="00ED6BBA" w:rsidP="00083D5B">
      <w:pPr>
        <w:rPr>
          <w:rFonts w:ascii="Times New Roman" w:hAnsi="Times New Roman" w:cs="Times New Roman"/>
          <w:b/>
        </w:rPr>
      </w:pPr>
    </w:p>
    <w:p w14:paraId="245C876F" w14:textId="5C7A3AED" w:rsidR="004578C7" w:rsidRPr="00044C30" w:rsidRDefault="00390F30" w:rsidP="00083D5B">
      <w:pPr>
        <w:rPr>
          <w:rFonts w:ascii="Times New Roman" w:hAnsi="Times New Roman" w:cs="Times New Roman"/>
          <w:b/>
        </w:rPr>
      </w:pPr>
      <w:r>
        <w:rPr>
          <w:rFonts w:ascii="Times New Roman" w:hAnsi="Times New Roman" w:cs="Times New Roman"/>
          <w:b/>
        </w:rPr>
        <w:t>What is the Administrative S</w:t>
      </w:r>
      <w:r w:rsidR="00CD58D0" w:rsidRPr="00044C30">
        <w:rPr>
          <w:rFonts w:ascii="Times New Roman" w:hAnsi="Times New Roman" w:cs="Times New Roman"/>
          <w:b/>
        </w:rPr>
        <w:t xml:space="preserve">implification </w:t>
      </w:r>
      <w:r w:rsidR="00D107DB" w:rsidRPr="00044C30">
        <w:rPr>
          <w:rFonts w:ascii="Times New Roman" w:hAnsi="Times New Roman" w:cs="Times New Roman"/>
          <w:b/>
        </w:rPr>
        <w:t>provision</w:t>
      </w:r>
      <w:r w:rsidR="00CD58D0" w:rsidRPr="00044C30">
        <w:rPr>
          <w:rFonts w:ascii="Times New Roman" w:hAnsi="Times New Roman" w:cs="Times New Roman"/>
          <w:b/>
        </w:rPr>
        <w:t>?</w:t>
      </w:r>
      <w:r w:rsidR="004578C7" w:rsidRPr="00044C30">
        <w:rPr>
          <w:rFonts w:ascii="Times New Roman" w:hAnsi="Times New Roman" w:cs="Times New Roman"/>
          <w:b/>
        </w:rPr>
        <w:t xml:space="preserve"> </w:t>
      </w:r>
    </w:p>
    <w:p w14:paraId="0CC4787B" w14:textId="49FD3815" w:rsidR="003F0474" w:rsidRPr="00044C30" w:rsidRDefault="00390F30" w:rsidP="00083D5B">
      <w:pPr>
        <w:rPr>
          <w:rFonts w:ascii="Times New Roman" w:hAnsi="Times New Roman" w:cs="Times New Roman"/>
          <w:b/>
        </w:rPr>
      </w:pPr>
      <w:r>
        <w:rPr>
          <w:rFonts w:ascii="Times New Roman" w:hAnsi="Times New Roman" w:cs="Times New Roman"/>
          <w:b/>
        </w:rPr>
        <w:t>What is the Security R</w:t>
      </w:r>
      <w:r w:rsidR="003F0474" w:rsidRPr="00044C30">
        <w:rPr>
          <w:rFonts w:ascii="Times New Roman" w:hAnsi="Times New Roman" w:cs="Times New Roman"/>
          <w:b/>
        </w:rPr>
        <w:t>ule?</w:t>
      </w:r>
    </w:p>
    <w:p w14:paraId="684EC146" w14:textId="4145DFD6" w:rsidR="004578C7" w:rsidRPr="00044C30" w:rsidRDefault="00D107DB" w:rsidP="00083D5B">
      <w:pPr>
        <w:rPr>
          <w:rFonts w:ascii="Times New Roman" w:hAnsi="Times New Roman" w:cs="Times New Roman"/>
          <w:b/>
        </w:rPr>
      </w:pPr>
      <w:r w:rsidRPr="00044C30">
        <w:rPr>
          <w:rFonts w:ascii="Times New Roman" w:hAnsi="Times New Roman" w:cs="Times New Roman"/>
          <w:b/>
        </w:rPr>
        <w:t xml:space="preserve">Are either used to </w:t>
      </w:r>
      <w:r w:rsidR="004578C7" w:rsidRPr="00044C30">
        <w:rPr>
          <w:rFonts w:ascii="Times New Roman" w:hAnsi="Times New Roman" w:cs="Times New Roman"/>
          <w:b/>
        </w:rPr>
        <w:t>determine the minimum necessary</w:t>
      </w:r>
      <w:r w:rsidRPr="00044C30">
        <w:rPr>
          <w:rFonts w:ascii="Times New Roman" w:hAnsi="Times New Roman" w:cs="Times New Roman"/>
          <w:b/>
        </w:rPr>
        <w:t xml:space="preserve"> standard</w:t>
      </w:r>
      <w:r w:rsidR="004578C7" w:rsidRPr="00044C30">
        <w:rPr>
          <w:rFonts w:ascii="Times New Roman" w:hAnsi="Times New Roman" w:cs="Times New Roman"/>
          <w:b/>
        </w:rPr>
        <w:t>?</w:t>
      </w:r>
      <w:r w:rsidR="002F4650">
        <w:rPr>
          <w:rFonts w:ascii="Times New Roman" w:hAnsi="Times New Roman" w:cs="Times New Roman"/>
          <w:b/>
        </w:rPr>
        <w:t xml:space="preserve"> </w:t>
      </w:r>
    </w:p>
    <w:p w14:paraId="30599C48" w14:textId="1E5B53F9" w:rsidR="003F0474" w:rsidRPr="00044C30" w:rsidRDefault="00390F30" w:rsidP="00083D5B">
      <w:pPr>
        <w:rPr>
          <w:rFonts w:ascii="Times New Roman" w:hAnsi="Times New Roman" w:cs="Times New Roman"/>
        </w:rPr>
      </w:pPr>
      <w:r>
        <w:rPr>
          <w:rFonts w:ascii="Times New Roman" w:hAnsi="Times New Roman" w:cs="Times New Roman"/>
        </w:rPr>
        <w:t>The Administrative S</w:t>
      </w:r>
      <w:r w:rsidR="00A10E5E" w:rsidRPr="00044C30">
        <w:rPr>
          <w:rFonts w:ascii="Times New Roman" w:hAnsi="Times New Roman" w:cs="Times New Roman"/>
        </w:rPr>
        <w:t>implification provision was created to improve efficiency and effectiveness of health care systems, by publishing and adopting national standards for electronic health care transactions and code sets, unique health identifiers, and security.</w:t>
      </w:r>
      <w:r w:rsidR="00A10E5E" w:rsidRPr="00044C30">
        <w:rPr>
          <w:rStyle w:val="FootnoteReference"/>
          <w:rFonts w:ascii="Times New Roman" w:hAnsi="Times New Roman" w:cs="Times New Roman"/>
        </w:rPr>
        <w:footnoteReference w:id="1"/>
      </w:r>
      <w:r w:rsidR="00A10E5E" w:rsidRPr="00044C30">
        <w:rPr>
          <w:rFonts w:ascii="Times New Roman" w:hAnsi="Times New Roman" w:cs="Times New Roman"/>
        </w:rPr>
        <w:t xml:space="preserve">  These standards include: </w:t>
      </w:r>
    </w:p>
    <w:p w14:paraId="78CD47AD" w14:textId="1E823143" w:rsidR="00A10E5E" w:rsidRPr="00044C30" w:rsidRDefault="00A10E5E" w:rsidP="00A10E5E">
      <w:pPr>
        <w:pStyle w:val="ListParagraph"/>
        <w:numPr>
          <w:ilvl w:val="0"/>
          <w:numId w:val="19"/>
        </w:numPr>
        <w:rPr>
          <w:rFonts w:ascii="Times New Roman" w:hAnsi="Times New Roman" w:cs="Times New Roman"/>
        </w:rPr>
      </w:pPr>
      <w:r w:rsidRPr="00044C30">
        <w:rPr>
          <w:rFonts w:ascii="Times New Roman" w:hAnsi="Times New Roman" w:cs="Times New Roman"/>
        </w:rPr>
        <w:t>Electronic health transaction sta</w:t>
      </w:r>
      <w:r w:rsidR="00666F8E">
        <w:rPr>
          <w:rFonts w:ascii="Times New Roman" w:hAnsi="Times New Roman" w:cs="Times New Roman"/>
        </w:rPr>
        <w:t>ndards and code sets — t</w:t>
      </w:r>
      <w:r w:rsidRPr="00044C30">
        <w:rPr>
          <w:rFonts w:ascii="Times New Roman" w:hAnsi="Times New Roman" w:cs="Times New Roman"/>
        </w:rPr>
        <w:t>he implementation of a national standard for transmitting health data electronically and using standard code sets to describe diseases, injuries</w:t>
      </w:r>
      <w:r w:rsidR="00666F8E">
        <w:rPr>
          <w:rFonts w:ascii="Times New Roman" w:hAnsi="Times New Roman" w:cs="Times New Roman"/>
        </w:rPr>
        <w:t>,</w:t>
      </w:r>
      <w:r w:rsidRPr="00044C30">
        <w:rPr>
          <w:rFonts w:ascii="Times New Roman" w:hAnsi="Times New Roman" w:cs="Times New Roman"/>
        </w:rPr>
        <w:t xml:space="preserve"> and other health problems. </w:t>
      </w:r>
    </w:p>
    <w:p w14:paraId="7643A9A9" w14:textId="7ED577D0" w:rsidR="00A10E5E" w:rsidRPr="00044C30" w:rsidRDefault="00666F8E" w:rsidP="00A10E5E">
      <w:pPr>
        <w:pStyle w:val="ListParagraph"/>
        <w:numPr>
          <w:ilvl w:val="0"/>
          <w:numId w:val="19"/>
        </w:numPr>
        <w:rPr>
          <w:rFonts w:ascii="Times New Roman" w:hAnsi="Times New Roman" w:cs="Times New Roman"/>
        </w:rPr>
      </w:pPr>
      <w:r>
        <w:rPr>
          <w:rFonts w:ascii="Times New Roman" w:hAnsi="Times New Roman" w:cs="Times New Roman"/>
        </w:rPr>
        <w:t>Unique identifiers — a</w:t>
      </w:r>
      <w:r w:rsidR="00A10E5E" w:rsidRPr="00044C30">
        <w:rPr>
          <w:rFonts w:ascii="Times New Roman" w:hAnsi="Times New Roman" w:cs="Times New Roman"/>
        </w:rPr>
        <w:t xml:space="preserve"> system that uses one identification number per employer, health plan or payer, and health care provider to simplify administration.</w:t>
      </w:r>
    </w:p>
    <w:p w14:paraId="1CD0B54D" w14:textId="6D660821" w:rsidR="00A10E5E" w:rsidRPr="00044C30" w:rsidRDefault="00666F8E" w:rsidP="00A10E5E">
      <w:pPr>
        <w:pStyle w:val="ListParagraph"/>
        <w:numPr>
          <w:ilvl w:val="0"/>
          <w:numId w:val="19"/>
        </w:numPr>
        <w:rPr>
          <w:rFonts w:ascii="Times New Roman" w:hAnsi="Times New Roman" w:cs="Times New Roman"/>
        </w:rPr>
      </w:pPr>
      <w:r>
        <w:rPr>
          <w:rFonts w:ascii="Times New Roman" w:hAnsi="Times New Roman" w:cs="Times New Roman"/>
        </w:rPr>
        <w:t>Security — s</w:t>
      </w:r>
      <w:r w:rsidR="00A10E5E" w:rsidRPr="00044C30">
        <w:rPr>
          <w:rFonts w:ascii="Times New Roman" w:hAnsi="Times New Roman" w:cs="Times New Roman"/>
        </w:rPr>
        <w:t>afeguarding the storage of, access to</w:t>
      </w:r>
      <w:r>
        <w:rPr>
          <w:rFonts w:ascii="Times New Roman" w:hAnsi="Times New Roman" w:cs="Times New Roman"/>
        </w:rPr>
        <w:t>,</w:t>
      </w:r>
      <w:r w:rsidR="00A10E5E" w:rsidRPr="00044C30">
        <w:rPr>
          <w:rFonts w:ascii="Times New Roman" w:hAnsi="Times New Roman" w:cs="Times New Roman"/>
        </w:rPr>
        <w:t xml:space="preserve"> and transmission of electronic patient information. </w:t>
      </w:r>
    </w:p>
    <w:p w14:paraId="0DC81D06" w14:textId="03A889FF" w:rsidR="00A10E5E" w:rsidRPr="00044C30" w:rsidRDefault="00666F8E" w:rsidP="00A10E5E">
      <w:pPr>
        <w:pStyle w:val="ListParagraph"/>
        <w:numPr>
          <w:ilvl w:val="0"/>
          <w:numId w:val="19"/>
        </w:numPr>
        <w:rPr>
          <w:rFonts w:ascii="Times New Roman" w:hAnsi="Times New Roman" w:cs="Times New Roman"/>
        </w:rPr>
      </w:pPr>
      <w:r>
        <w:rPr>
          <w:rFonts w:ascii="Times New Roman" w:hAnsi="Times New Roman" w:cs="Times New Roman"/>
        </w:rPr>
        <w:t>Privacy — g</w:t>
      </w:r>
      <w:r w:rsidR="00A10E5E" w:rsidRPr="00044C30">
        <w:rPr>
          <w:rFonts w:ascii="Times New Roman" w:hAnsi="Times New Roman" w:cs="Times New Roman"/>
        </w:rPr>
        <w:t>enerally</w:t>
      </w:r>
      <w:r>
        <w:rPr>
          <w:rFonts w:ascii="Times New Roman" w:hAnsi="Times New Roman" w:cs="Times New Roman"/>
        </w:rPr>
        <w:t>,</w:t>
      </w:r>
      <w:r w:rsidR="00A10E5E" w:rsidRPr="00044C30">
        <w:rPr>
          <w:rFonts w:ascii="Times New Roman" w:hAnsi="Times New Roman" w:cs="Times New Roman"/>
        </w:rPr>
        <w:t xml:space="preserve"> limiting the use or disclosure of protected health information to a minimum necessary standard. It also gives patients the right to see and get copies of their records, request amendments to their records</w:t>
      </w:r>
      <w:r>
        <w:rPr>
          <w:rFonts w:ascii="Times New Roman" w:hAnsi="Times New Roman" w:cs="Times New Roman"/>
        </w:rPr>
        <w:t>,</w:t>
      </w:r>
      <w:r w:rsidR="00A10E5E" w:rsidRPr="00044C30">
        <w:rPr>
          <w:rFonts w:ascii="Times New Roman" w:hAnsi="Times New Roman" w:cs="Times New Roman"/>
        </w:rPr>
        <w:t xml:space="preserve"> and learn details of certain disclosures of their records.</w:t>
      </w:r>
    </w:p>
    <w:p w14:paraId="510E1EAF" w14:textId="77777777" w:rsidR="00A10E5E" w:rsidRPr="00044C30" w:rsidRDefault="00A10E5E" w:rsidP="00083D5B">
      <w:pPr>
        <w:rPr>
          <w:rFonts w:ascii="Times New Roman" w:hAnsi="Times New Roman" w:cs="Times New Roman"/>
        </w:rPr>
      </w:pPr>
      <w:r w:rsidRPr="00044C30">
        <w:rPr>
          <w:rFonts w:ascii="Times New Roman" w:hAnsi="Times New Roman" w:cs="Times New Roman"/>
        </w:rPr>
        <w:t xml:space="preserve">The security standard, required by the Administrative Simplification regulation, is further described under HIPAA’s Security Rule, </w:t>
      </w:r>
      <w:r w:rsidR="00F32A5F" w:rsidRPr="00044C30">
        <w:rPr>
          <w:rFonts w:ascii="Times New Roman" w:hAnsi="Times New Roman" w:cs="Times New Roman"/>
        </w:rPr>
        <w:t xml:space="preserve">45 CFR </w:t>
      </w:r>
      <w:r w:rsidR="00CD58D0" w:rsidRPr="00044C30">
        <w:rPr>
          <w:rFonts w:ascii="Times New Roman" w:hAnsi="Times New Roman" w:cs="Times New Roman"/>
        </w:rPr>
        <w:t>§ 164</w:t>
      </w:r>
      <w:r w:rsidR="00F32A5F" w:rsidRPr="00044C30">
        <w:rPr>
          <w:rFonts w:ascii="Times New Roman" w:hAnsi="Times New Roman" w:cs="Times New Roman"/>
        </w:rPr>
        <w:t>.</w:t>
      </w:r>
      <w:r w:rsidR="00F32A5F" w:rsidRPr="00044C30">
        <w:rPr>
          <w:rStyle w:val="FootnoteReference"/>
          <w:rFonts w:ascii="Times New Roman" w:hAnsi="Times New Roman" w:cs="Times New Roman"/>
        </w:rPr>
        <w:footnoteReference w:id="2"/>
      </w:r>
      <w:r w:rsidR="008D239E" w:rsidRPr="00044C30">
        <w:rPr>
          <w:rFonts w:ascii="Times New Roman" w:hAnsi="Times New Roman" w:cs="Times New Roman"/>
        </w:rPr>
        <w:t xml:space="preserve"> </w:t>
      </w:r>
    </w:p>
    <w:p w14:paraId="25BBFF8F" w14:textId="77777777" w:rsidR="00A10E5E" w:rsidRPr="00044C30" w:rsidRDefault="00A10E5E" w:rsidP="00083D5B">
      <w:pPr>
        <w:rPr>
          <w:rFonts w:ascii="Times New Roman" w:hAnsi="Times New Roman" w:cs="Times New Roman"/>
        </w:rPr>
      </w:pPr>
    </w:p>
    <w:p w14:paraId="3847DE93" w14:textId="77777777" w:rsidR="00D107DB" w:rsidRPr="00044C30" w:rsidRDefault="00D107DB" w:rsidP="00083D5B">
      <w:pPr>
        <w:rPr>
          <w:rFonts w:ascii="Times New Roman" w:hAnsi="Times New Roman" w:cs="Times New Roman"/>
        </w:rPr>
      </w:pPr>
      <w:r w:rsidRPr="00044C30">
        <w:rPr>
          <w:rFonts w:ascii="Times New Roman" w:hAnsi="Times New Roman" w:cs="Times New Roman"/>
        </w:rPr>
        <w:t xml:space="preserve">Generally, the </w:t>
      </w:r>
      <w:r w:rsidR="00A10E5E" w:rsidRPr="00044C30">
        <w:rPr>
          <w:rFonts w:ascii="Times New Roman" w:hAnsi="Times New Roman" w:cs="Times New Roman"/>
        </w:rPr>
        <w:t xml:space="preserve">Security </w:t>
      </w:r>
      <w:r w:rsidRPr="00044C30">
        <w:rPr>
          <w:rFonts w:ascii="Times New Roman" w:hAnsi="Times New Roman" w:cs="Times New Roman"/>
        </w:rPr>
        <w:t>Rule requires covered entities and business associates to do four things:</w:t>
      </w:r>
    </w:p>
    <w:p w14:paraId="38328E23" w14:textId="77777777" w:rsidR="00D107DB" w:rsidRPr="00044C30" w:rsidRDefault="00D107DB" w:rsidP="00D107DB">
      <w:pPr>
        <w:pStyle w:val="ListParagraph"/>
        <w:numPr>
          <w:ilvl w:val="0"/>
          <w:numId w:val="18"/>
        </w:numPr>
        <w:rPr>
          <w:rFonts w:ascii="Times New Roman" w:hAnsi="Times New Roman" w:cs="Times New Roman"/>
        </w:rPr>
      </w:pPr>
      <w:r w:rsidRPr="00044C30">
        <w:rPr>
          <w:rFonts w:ascii="Times New Roman" w:hAnsi="Times New Roman" w:cs="Times New Roman"/>
        </w:rPr>
        <w:t>Ensure the confidentiality, integrity, and availability of all electronic protected health information the covered entity or business associate creates, receives, maintains, or transmits;</w:t>
      </w:r>
    </w:p>
    <w:p w14:paraId="06839B4D" w14:textId="77777777" w:rsidR="00D107DB" w:rsidRPr="00044C30" w:rsidRDefault="00D107DB" w:rsidP="00D107DB">
      <w:pPr>
        <w:pStyle w:val="ListParagraph"/>
        <w:numPr>
          <w:ilvl w:val="0"/>
          <w:numId w:val="18"/>
        </w:numPr>
        <w:rPr>
          <w:rFonts w:ascii="Times New Roman" w:hAnsi="Times New Roman" w:cs="Times New Roman"/>
        </w:rPr>
      </w:pPr>
      <w:r w:rsidRPr="00044C30">
        <w:rPr>
          <w:rFonts w:ascii="Times New Roman" w:hAnsi="Times New Roman" w:cs="Times New Roman"/>
        </w:rPr>
        <w:t>Protect against any reasonably anticipated threats or hazards to the security or integrity of such information;</w:t>
      </w:r>
    </w:p>
    <w:p w14:paraId="01E99080" w14:textId="77777777" w:rsidR="00D107DB" w:rsidRPr="00044C30" w:rsidRDefault="00D107DB" w:rsidP="00D107DB">
      <w:pPr>
        <w:pStyle w:val="ListParagraph"/>
        <w:numPr>
          <w:ilvl w:val="0"/>
          <w:numId w:val="18"/>
        </w:numPr>
        <w:rPr>
          <w:rFonts w:ascii="Times New Roman" w:hAnsi="Times New Roman" w:cs="Times New Roman"/>
        </w:rPr>
      </w:pPr>
      <w:r w:rsidRPr="00044C30">
        <w:rPr>
          <w:rFonts w:ascii="Times New Roman" w:hAnsi="Times New Roman" w:cs="Times New Roman"/>
        </w:rPr>
        <w:t>Protect against any reasonably anticipated uses or disclosures of such information that are not permitted or required under subpart E of this part; and</w:t>
      </w:r>
    </w:p>
    <w:p w14:paraId="78592276" w14:textId="77777777" w:rsidR="00D107DB" w:rsidRPr="00044C30" w:rsidRDefault="00D107DB" w:rsidP="00D107DB">
      <w:pPr>
        <w:pStyle w:val="ListParagraph"/>
        <w:numPr>
          <w:ilvl w:val="0"/>
          <w:numId w:val="18"/>
        </w:numPr>
        <w:rPr>
          <w:rFonts w:ascii="Times New Roman" w:hAnsi="Times New Roman" w:cs="Times New Roman"/>
        </w:rPr>
      </w:pPr>
      <w:r w:rsidRPr="00044C30">
        <w:rPr>
          <w:rFonts w:ascii="Times New Roman" w:hAnsi="Times New Roman" w:cs="Times New Roman"/>
        </w:rPr>
        <w:lastRenderedPageBreak/>
        <w:t>Ensure compliance with this subpart by its workforce.</w:t>
      </w:r>
      <w:r w:rsidRPr="00044C30">
        <w:rPr>
          <w:rStyle w:val="FootnoteReference"/>
          <w:rFonts w:ascii="Times New Roman" w:hAnsi="Times New Roman" w:cs="Times New Roman"/>
        </w:rPr>
        <w:footnoteReference w:id="3"/>
      </w:r>
    </w:p>
    <w:p w14:paraId="0E8C1045" w14:textId="77777777" w:rsidR="0057497C" w:rsidRPr="00044C30" w:rsidRDefault="003166F6" w:rsidP="003F0474">
      <w:pPr>
        <w:rPr>
          <w:rFonts w:ascii="Times New Roman" w:hAnsi="Times New Roman" w:cs="Times New Roman"/>
        </w:rPr>
      </w:pPr>
      <w:r w:rsidRPr="00044C30">
        <w:rPr>
          <w:rFonts w:ascii="Times New Roman" w:hAnsi="Times New Roman" w:cs="Times New Roman"/>
        </w:rPr>
        <w:t>As part of this, t</w:t>
      </w:r>
      <w:r w:rsidR="008D239E" w:rsidRPr="00044C30">
        <w:rPr>
          <w:rFonts w:ascii="Times New Roman" w:hAnsi="Times New Roman" w:cs="Times New Roman"/>
        </w:rPr>
        <w:t xml:space="preserve">he Security Rule </w:t>
      </w:r>
      <w:r w:rsidR="00410047" w:rsidRPr="00044C30">
        <w:rPr>
          <w:rFonts w:ascii="Times New Roman" w:hAnsi="Times New Roman" w:cs="Times New Roman"/>
        </w:rPr>
        <w:t xml:space="preserve">requires covered entities to maintain reasonable administrative, technical, and physical safeguards for protecting electronic protected health information (e-PHI). </w:t>
      </w:r>
    </w:p>
    <w:p w14:paraId="2E58D3CD" w14:textId="77777777" w:rsidR="00A84CB9" w:rsidRPr="00044C30" w:rsidRDefault="002C2127" w:rsidP="002C2127">
      <w:pPr>
        <w:pStyle w:val="ListParagraph"/>
        <w:numPr>
          <w:ilvl w:val="0"/>
          <w:numId w:val="20"/>
        </w:numPr>
        <w:rPr>
          <w:rFonts w:ascii="Times New Roman" w:hAnsi="Times New Roman" w:cs="Times New Roman"/>
        </w:rPr>
      </w:pPr>
      <w:r w:rsidRPr="00044C30">
        <w:rPr>
          <w:rFonts w:ascii="Times New Roman" w:hAnsi="Times New Roman" w:cs="Times New Roman"/>
        </w:rPr>
        <w:t>“</w:t>
      </w:r>
      <w:r w:rsidR="00A84CB9" w:rsidRPr="00044C30">
        <w:rPr>
          <w:rFonts w:ascii="Times New Roman" w:hAnsi="Times New Roman" w:cs="Times New Roman"/>
        </w:rPr>
        <w:t>Administrative safeguards are administrative actions, policies and procedures to manage the selection, development, implementation and maintenance of security measures to safeguard electronic protected health information and manage the conduct of the covered entity's workforce in relation to the protection of that information.</w:t>
      </w:r>
      <w:r w:rsidRPr="00044C30">
        <w:rPr>
          <w:rFonts w:ascii="Times New Roman" w:hAnsi="Times New Roman" w:cs="Times New Roman"/>
        </w:rPr>
        <w:t>”</w:t>
      </w:r>
    </w:p>
    <w:p w14:paraId="20C223CF" w14:textId="77777777" w:rsidR="002C2127" w:rsidRPr="00044C30" w:rsidRDefault="002C2127" w:rsidP="002C2127">
      <w:pPr>
        <w:pStyle w:val="ListParagraph"/>
        <w:numPr>
          <w:ilvl w:val="0"/>
          <w:numId w:val="20"/>
        </w:numPr>
        <w:rPr>
          <w:rFonts w:ascii="Times New Roman" w:hAnsi="Times New Roman" w:cs="Times New Roman"/>
        </w:rPr>
      </w:pPr>
      <w:r w:rsidRPr="00044C30">
        <w:rPr>
          <w:rFonts w:ascii="Times New Roman" w:hAnsi="Times New Roman" w:cs="Times New Roman"/>
        </w:rPr>
        <w:t>“Physical safeguards are physical measures, policies and procedures to protect a covered entity's electronic information systems and related buildings and equipment, from natural and environmental hazards and unauthorized intrusion.”</w:t>
      </w:r>
    </w:p>
    <w:p w14:paraId="52E488DA" w14:textId="77777777" w:rsidR="002C2127" w:rsidRPr="00044C30" w:rsidRDefault="002C2127" w:rsidP="002C2127">
      <w:pPr>
        <w:pStyle w:val="ListParagraph"/>
        <w:numPr>
          <w:ilvl w:val="0"/>
          <w:numId w:val="20"/>
        </w:numPr>
        <w:rPr>
          <w:rFonts w:ascii="Times New Roman" w:hAnsi="Times New Roman" w:cs="Times New Roman"/>
        </w:rPr>
      </w:pPr>
      <w:r w:rsidRPr="00044C30">
        <w:rPr>
          <w:rFonts w:ascii="Times New Roman" w:hAnsi="Times New Roman" w:cs="Times New Roman"/>
        </w:rPr>
        <w:t>“Technical safeguards are the technology, policy and procedures for its use that safeguard electronic protected health information and control access to e-PHI.”</w:t>
      </w:r>
    </w:p>
    <w:p w14:paraId="2462E611" w14:textId="3689BBAA" w:rsidR="003F0474" w:rsidRPr="00044C30" w:rsidRDefault="001D350F" w:rsidP="005919DD">
      <w:pPr>
        <w:rPr>
          <w:rFonts w:ascii="Times New Roman" w:hAnsi="Times New Roman" w:cs="Times New Roman"/>
        </w:rPr>
      </w:pPr>
      <w:r>
        <w:rPr>
          <w:rFonts w:ascii="Times New Roman" w:hAnsi="Times New Roman" w:cs="Times New Roman"/>
        </w:rPr>
        <w:t>Additionally, t</w:t>
      </w:r>
      <w:r w:rsidR="002F4650">
        <w:rPr>
          <w:rFonts w:ascii="Times New Roman" w:hAnsi="Times New Roman" w:cs="Times New Roman"/>
        </w:rPr>
        <w:t>he</w:t>
      </w:r>
      <w:r w:rsidR="00A73383" w:rsidRPr="00044C30">
        <w:rPr>
          <w:rFonts w:ascii="Times New Roman" w:hAnsi="Times New Roman" w:cs="Times New Roman"/>
        </w:rPr>
        <w:t xml:space="preserve"> administrative safeguards</w:t>
      </w:r>
      <w:r w:rsidR="002F4650">
        <w:rPr>
          <w:rFonts w:ascii="Times New Roman" w:hAnsi="Times New Roman" w:cs="Times New Roman"/>
        </w:rPr>
        <w:t xml:space="preserve"> provision</w:t>
      </w:r>
      <w:r w:rsidR="00A73383" w:rsidRPr="00044C30">
        <w:rPr>
          <w:rFonts w:ascii="Times New Roman" w:hAnsi="Times New Roman" w:cs="Times New Roman"/>
        </w:rPr>
        <w:t xml:space="preserve">, </w:t>
      </w:r>
      <w:r w:rsidR="00842EC5" w:rsidRPr="00044C30">
        <w:rPr>
          <w:rFonts w:ascii="Times New Roman" w:hAnsi="Times New Roman" w:cs="Times New Roman"/>
        </w:rPr>
        <w:t xml:space="preserve">45 CFR § 164.308, </w:t>
      </w:r>
      <w:r>
        <w:rPr>
          <w:rFonts w:ascii="Times New Roman" w:hAnsi="Times New Roman" w:cs="Times New Roman"/>
        </w:rPr>
        <w:t>includes</w:t>
      </w:r>
      <w:r w:rsidR="00A73383" w:rsidRPr="00044C30">
        <w:rPr>
          <w:rFonts w:ascii="Times New Roman" w:hAnsi="Times New Roman" w:cs="Times New Roman"/>
        </w:rPr>
        <w:t xml:space="preserve"> standards designed to limit the use and access to e-PHI. </w:t>
      </w:r>
      <w:r w:rsidR="005919DD">
        <w:rPr>
          <w:rFonts w:ascii="Times New Roman" w:hAnsi="Times New Roman" w:cs="Times New Roman"/>
        </w:rPr>
        <w:t xml:space="preserve">According to </w:t>
      </w:r>
      <w:r w:rsidR="005919DD" w:rsidRPr="00044C30">
        <w:rPr>
          <w:rFonts w:ascii="Times New Roman" w:hAnsi="Times New Roman" w:cs="Times New Roman"/>
        </w:rPr>
        <w:t>§ 164.308</w:t>
      </w:r>
      <w:r w:rsidR="005919DD">
        <w:rPr>
          <w:rFonts w:ascii="Times New Roman" w:hAnsi="Times New Roman" w:cs="Times New Roman"/>
        </w:rPr>
        <w:t>(a)(4), which is part of the Security Rule, a covered entity or business associate must implement policies and procedures for authorizing access to e-PHI. This requires that those policies and procedures are consistent with the applicable requirements of subpart E, which includes the minimum necessary standard. It also requires that a covered entity or business associate establish</w:t>
      </w:r>
      <w:r w:rsidR="00842EC5" w:rsidRPr="00044C30">
        <w:rPr>
          <w:rFonts w:ascii="Times New Roman" w:hAnsi="Times New Roman" w:cs="Times New Roman"/>
        </w:rPr>
        <w:t xml:space="preserve"> </w:t>
      </w:r>
      <w:r w:rsidR="005919DD">
        <w:rPr>
          <w:rFonts w:ascii="Times New Roman" w:hAnsi="Times New Roman" w:cs="Times New Roman"/>
        </w:rPr>
        <w:t>role based access policies and procedures</w:t>
      </w:r>
      <w:r w:rsidR="00842EC5" w:rsidRPr="00044C30">
        <w:rPr>
          <w:rFonts w:ascii="Times New Roman" w:hAnsi="Times New Roman" w:cs="Times New Roman"/>
        </w:rPr>
        <w:t>.</w:t>
      </w:r>
      <w:r w:rsidR="0081620F" w:rsidRPr="00044C30">
        <w:rPr>
          <w:rFonts w:ascii="Times New Roman" w:hAnsi="Times New Roman" w:cs="Times New Roman"/>
        </w:rPr>
        <w:t xml:space="preserve"> Paragraph (a)(3)(ii) states that a covered entity must implement procedures to determine that “the access of a workforce member to electronic protected health information is appropriate.”</w:t>
      </w:r>
    </w:p>
    <w:p w14:paraId="0120EFF9" w14:textId="77777777" w:rsidR="00AC45A2" w:rsidRPr="00044C30" w:rsidRDefault="00AC45A2" w:rsidP="00083D5B">
      <w:pPr>
        <w:rPr>
          <w:rFonts w:ascii="Times New Roman" w:hAnsi="Times New Roman" w:cs="Times New Roman"/>
        </w:rPr>
      </w:pPr>
    </w:p>
    <w:p w14:paraId="67A2D61B" w14:textId="77777777" w:rsidR="004578C7" w:rsidRDefault="004578C7" w:rsidP="00083D5B">
      <w:pPr>
        <w:rPr>
          <w:rFonts w:ascii="Times New Roman" w:hAnsi="Times New Roman" w:cs="Times New Roman"/>
          <w:b/>
        </w:rPr>
      </w:pPr>
      <w:r w:rsidRPr="00044C30">
        <w:rPr>
          <w:rFonts w:ascii="Times New Roman" w:hAnsi="Times New Roman" w:cs="Times New Roman"/>
          <w:b/>
        </w:rPr>
        <w:t>Question 2:</w:t>
      </w:r>
    </w:p>
    <w:p w14:paraId="10EBA6AC" w14:textId="77777777" w:rsidR="00EB578D" w:rsidRPr="00044C30" w:rsidRDefault="00EB578D" w:rsidP="00083D5B">
      <w:pPr>
        <w:rPr>
          <w:rFonts w:ascii="Times New Roman" w:hAnsi="Times New Roman" w:cs="Times New Roman"/>
          <w:b/>
        </w:rPr>
      </w:pPr>
    </w:p>
    <w:p w14:paraId="6CFCC1EB" w14:textId="77777777" w:rsidR="00AC1421" w:rsidRPr="00044C30" w:rsidRDefault="00083D5B" w:rsidP="00083D5B">
      <w:pPr>
        <w:rPr>
          <w:rFonts w:ascii="Times New Roman" w:hAnsi="Times New Roman" w:cs="Times New Roman"/>
          <w:b/>
        </w:rPr>
      </w:pPr>
      <w:r w:rsidRPr="00044C30">
        <w:rPr>
          <w:rFonts w:ascii="Times New Roman" w:hAnsi="Times New Roman" w:cs="Times New Roman"/>
          <w:b/>
        </w:rPr>
        <w:t xml:space="preserve">What </w:t>
      </w:r>
      <w:r w:rsidR="00AC1421" w:rsidRPr="00044C30">
        <w:rPr>
          <w:rFonts w:ascii="Times New Roman" w:hAnsi="Times New Roman" w:cs="Times New Roman"/>
          <w:b/>
        </w:rPr>
        <w:t>are duplicate tests, are there legitimate needs for duplicate testing?</w:t>
      </w:r>
    </w:p>
    <w:p w14:paraId="4CB38053" w14:textId="77777777" w:rsidR="00083D5B" w:rsidRPr="00044C30" w:rsidRDefault="00083D5B" w:rsidP="00083D5B">
      <w:pPr>
        <w:rPr>
          <w:rFonts w:ascii="Times New Roman" w:hAnsi="Times New Roman" w:cs="Times New Roman"/>
          <w:b/>
        </w:rPr>
      </w:pPr>
      <w:r w:rsidRPr="00044C30">
        <w:rPr>
          <w:rFonts w:ascii="Times New Roman" w:hAnsi="Times New Roman" w:cs="Times New Roman"/>
          <w:b/>
        </w:rPr>
        <w:t>Would eliminating patient privacy and consent rights eliminate duplicate testing in Minnesota?</w:t>
      </w:r>
    </w:p>
    <w:p w14:paraId="1D4ED8E8" w14:textId="77777777" w:rsidR="00083D5B" w:rsidRPr="00044C30" w:rsidRDefault="00083D5B" w:rsidP="00083D5B">
      <w:pPr>
        <w:rPr>
          <w:rFonts w:ascii="Times New Roman" w:hAnsi="Times New Roman" w:cs="Times New Roman"/>
        </w:rPr>
      </w:pPr>
    </w:p>
    <w:p w14:paraId="74E3ED35" w14:textId="28D4F9A8" w:rsidR="009548B9" w:rsidRPr="00044C30" w:rsidRDefault="00B85935" w:rsidP="00083D5B">
      <w:pPr>
        <w:rPr>
          <w:rFonts w:ascii="Times New Roman" w:hAnsi="Times New Roman" w:cs="Times New Roman"/>
        </w:rPr>
      </w:pPr>
      <w:r>
        <w:rPr>
          <w:rFonts w:ascii="Times New Roman" w:hAnsi="Times New Roman" w:cs="Times New Roman"/>
        </w:rPr>
        <w:t>Duplicate testing is the</w:t>
      </w:r>
      <w:r w:rsidR="00083D5B" w:rsidRPr="00044C30">
        <w:rPr>
          <w:rFonts w:ascii="Times New Roman" w:hAnsi="Times New Roman" w:cs="Times New Roman"/>
        </w:rPr>
        <w:t xml:space="preserve"> repeating of labs or other diagnostic evaluations. </w:t>
      </w:r>
      <w:r w:rsidR="00C3217A" w:rsidRPr="00C3217A">
        <w:rPr>
          <w:rFonts w:ascii="Times New Roman" w:hAnsi="Times New Roman" w:cs="Times New Roman"/>
        </w:rPr>
        <w:t xml:space="preserve">When a duplicate test is performed without a legitimate need, </w:t>
      </w:r>
      <w:r w:rsidR="00C3217A">
        <w:rPr>
          <w:rFonts w:ascii="Times New Roman" w:hAnsi="Times New Roman" w:cs="Times New Roman"/>
        </w:rPr>
        <w:t>it needlessly costs patients their time and money, and may</w:t>
      </w:r>
      <w:r w:rsidR="00083D5B" w:rsidRPr="00044C30">
        <w:rPr>
          <w:rFonts w:ascii="Times New Roman" w:hAnsi="Times New Roman" w:cs="Times New Roman"/>
        </w:rPr>
        <w:t xml:space="preserve"> negatively impact their health. </w:t>
      </w:r>
      <w:r w:rsidR="00153E9E" w:rsidRPr="00153E9E">
        <w:rPr>
          <w:rFonts w:ascii="Times New Roman" w:hAnsi="Times New Roman" w:cs="Times New Roman"/>
        </w:rPr>
        <w:t xml:space="preserve">A 2014 study, published by the American Journal of Clinical Pathology, found that duplicate testing often occurs when a second physician is unaware </w:t>
      </w:r>
      <w:r w:rsidR="00153E9E" w:rsidRPr="00153E9E">
        <w:rPr>
          <w:rFonts w:ascii="Times New Roman" w:hAnsi="Times New Roman" w:cs="Times New Roman"/>
        </w:rPr>
        <w:lastRenderedPageBreak/>
        <w:t>of the first physicia</w:t>
      </w:r>
      <w:r w:rsidR="006734EA">
        <w:rPr>
          <w:rFonts w:ascii="Times New Roman" w:hAnsi="Times New Roman" w:cs="Times New Roman"/>
        </w:rPr>
        <w:t>n’s existing testing order, and mistakenly orders a second test.</w:t>
      </w:r>
      <w:r w:rsidR="006734EA">
        <w:rPr>
          <w:rStyle w:val="FootnoteReference"/>
          <w:rFonts w:ascii="Times New Roman" w:hAnsi="Times New Roman" w:cs="Times New Roman"/>
        </w:rPr>
        <w:footnoteReference w:id="4"/>
      </w:r>
      <w:r w:rsidR="001A6276">
        <w:rPr>
          <w:rFonts w:ascii="Times New Roman" w:hAnsi="Times New Roman" w:cs="Times New Roman"/>
        </w:rPr>
        <w:t xml:space="preserve"> This</w:t>
      </w:r>
      <w:r w:rsidR="00153E9E" w:rsidRPr="00153E9E">
        <w:rPr>
          <w:rFonts w:ascii="Times New Roman" w:hAnsi="Times New Roman" w:cs="Times New Roman"/>
        </w:rPr>
        <w:t xml:space="preserve"> study does not assert why </w:t>
      </w:r>
      <w:r w:rsidR="00946BF1">
        <w:rPr>
          <w:rFonts w:ascii="Times New Roman" w:hAnsi="Times New Roman" w:cs="Times New Roman"/>
        </w:rPr>
        <w:t xml:space="preserve">a second physician would be unaware of an </w:t>
      </w:r>
      <w:r w:rsidR="00153E9E" w:rsidRPr="00153E9E">
        <w:rPr>
          <w:rFonts w:ascii="Times New Roman" w:hAnsi="Times New Roman" w:cs="Times New Roman"/>
        </w:rPr>
        <w:t xml:space="preserve">existing </w:t>
      </w:r>
      <w:r w:rsidR="00946BF1">
        <w:rPr>
          <w:rFonts w:ascii="Times New Roman" w:hAnsi="Times New Roman" w:cs="Times New Roman"/>
        </w:rPr>
        <w:t xml:space="preserve">testing </w:t>
      </w:r>
      <w:r w:rsidR="00153E9E" w:rsidRPr="00153E9E">
        <w:rPr>
          <w:rFonts w:ascii="Times New Roman" w:hAnsi="Times New Roman" w:cs="Times New Roman"/>
        </w:rPr>
        <w:t>order</w:t>
      </w:r>
      <w:r w:rsidR="00946BF1">
        <w:rPr>
          <w:rFonts w:ascii="Times New Roman" w:hAnsi="Times New Roman" w:cs="Times New Roman"/>
        </w:rPr>
        <w:t>. However, s</w:t>
      </w:r>
      <w:r w:rsidR="00153E9E" w:rsidRPr="00153E9E">
        <w:rPr>
          <w:rFonts w:ascii="Times New Roman" w:hAnsi="Times New Roman" w:cs="Times New Roman"/>
        </w:rPr>
        <w:t xml:space="preserve">everal </w:t>
      </w:r>
      <w:r w:rsidR="00946BF1">
        <w:rPr>
          <w:rFonts w:ascii="Times New Roman" w:hAnsi="Times New Roman" w:cs="Times New Roman"/>
        </w:rPr>
        <w:t xml:space="preserve">causes </w:t>
      </w:r>
      <w:r w:rsidR="00C86002">
        <w:rPr>
          <w:rFonts w:ascii="Times New Roman" w:hAnsi="Times New Roman" w:cs="Times New Roman"/>
        </w:rPr>
        <w:t xml:space="preserve">for the ordering of </w:t>
      </w:r>
      <w:r w:rsidR="001A6276">
        <w:rPr>
          <w:rFonts w:ascii="Times New Roman" w:hAnsi="Times New Roman" w:cs="Times New Roman"/>
        </w:rPr>
        <w:t>duplicate testing have been identified</w:t>
      </w:r>
      <w:r w:rsidR="00153E9E" w:rsidRPr="00153E9E">
        <w:rPr>
          <w:rFonts w:ascii="Times New Roman" w:hAnsi="Times New Roman" w:cs="Times New Roman"/>
        </w:rPr>
        <w:t xml:space="preserve">, </w:t>
      </w:r>
      <w:r w:rsidR="00562D58">
        <w:rPr>
          <w:rFonts w:ascii="Times New Roman" w:hAnsi="Times New Roman" w:cs="Times New Roman"/>
        </w:rPr>
        <w:t>several</w:t>
      </w:r>
      <w:r w:rsidR="00C86002">
        <w:rPr>
          <w:rFonts w:ascii="Times New Roman" w:hAnsi="Times New Roman" w:cs="Times New Roman"/>
        </w:rPr>
        <w:t xml:space="preserve"> of which </w:t>
      </w:r>
      <w:r w:rsidR="00562D58">
        <w:rPr>
          <w:rFonts w:ascii="Times New Roman" w:hAnsi="Times New Roman" w:cs="Times New Roman"/>
        </w:rPr>
        <w:t>show that</w:t>
      </w:r>
      <w:r w:rsidR="00C86002">
        <w:rPr>
          <w:rFonts w:ascii="Times New Roman" w:hAnsi="Times New Roman" w:cs="Times New Roman"/>
        </w:rPr>
        <w:t xml:space="preserve"> a delay or void in</w:t>
      </w:r>
      <w:r w:rsidR="00946BF1">
        <w:rPr>
          <w:rFonts w:ascii="Times New Roman" w:hAnsi="Times New Roman" w:cs="Times New Roman"/>
        </w:rPr>
        <w:t xml:space="preserve"> accurate information may be to blame. T</w:t>
      </w:r>
      <w:r w:rsidR="001A6276">
        <w:rPr>
          <w:rFonts w:ascii="Times New Roman" w:hAnsi="Times New Roman" w:cs="Times New Roman"/>
        </w:rPr>
        <w:t>hese</w:t>
      </w:r>
      <w:r w:rsidR="00C86002">
        <w:rPr>
          <w:rFonts w:ascii="Times New Roman" w:hAnsi="Times New Roman" w:cs="Times New Roman"/>
        </w:rPr>
        <w:t xml:space="preserve"> causes of duplicate testing</w:t>
      </w:r>
      <w:r w:rsidR="001A6276">
        <w:rPr>
          <w:rFonts w:ascii="Times New Roman" w:hAnsi="Times New Roman" w:cs="Times New Roman"/>
        </w:rPr>
        <w:t xml:space="preserve"> include</w:t>
      </w:r>
      <w:r w:rsidR="00837387">
        <w:rPr>
          <w:rFonts w:ascii="Times New Roman" w:hAnsi="Times New Roman" w:cs="Times New Roman"/>
        </w:rPr>
        <w:t>, but may not be limited to</w:t>
      </w:r>
      <w:r w:rsidR="001A6276">
        <w:rPr>
          <w:rFonts w:ascii="Times New Roman" w:hAnsi="Times New Roman" w:cs="Times New Roman"/>
        </w:rPr>
        <w:t>:</w:t>
      </w:r>
    </w:p>
    <w:p w14:paraId="670FFB8B" w14:textId="4CBAA1FA" w:rsidR="009548B9" w:rsidRDefault="00083D5B" w:rsidP="009548B9">
      <w:pPr>
        <w:pStyle w:val="ListParagraph"/>
        <w:numPr>
          <w:ilvl w:val="0"/>
          <w:numId w:val="15"/>
        </w:numPr>
        <w:rPr>
          <w:rFonts w:ascii="Times New Roman" w:hAnsi="Times New Roman" w:cs="Times New Roman"/>
        </w:rPr>
      </w:pPr>
      <w:r w:rsidRPr="00044C30">
        <w:rPr>
          <w:rFonts w:ascii="Times New Roman" w:hAnsi="Times New Roman" w:cs="Times New Roman"/>
        </w:rPr>
        <w:t>legitimate m</w:t>
      </w:r>
      <w:r w:rsidR="009548B9" w:rsidRPr="00044C30">
        <w:rPr>
          <w:rFonts w:ascii="Times New Roman" w:hAnsi="Times New Roman" w:cs="Times New Roman"/>
        </w:rPr>
        <w:t>edical need or clinical reason;</w:t>
      </w:r>
    </w:p>
    <w:p w14:paraId="2EE4E021" w14:textId="0D25B0CB" w:rsidR="00837387" w:rsidRPr="00044C30" w:rsidRDefault="00837387" w:rsidP="009548B9">
      <w:pPr>
        <w:pStyle w:val="ListParagraph"/>
        <w:numPr>
          <w:ilvl w:val="0"/>
          <w:numId w:val="15"/>
        </w:numPr>
        <w:rPr>
          <w:rFonts w:ascii="Times New Roman" w:hAnsi="Times New Roman" w:cs="Times New Roman"/>
        </w:rPr>
      </w:pPr>
      <w:r>
        <w:rPr>
          <w:rFonts w:ascii="Times New Roman" w:hAnsi="Times New Roman" w:cs="Times New Roman"/>
        </w:rPr>
        <w:t xml:space="preserve">the practice of defensive medicine; </w:t>
      </w:r>
    </w:p>
    <w:p w14:paraId="6B31F5E9" w14:textId="78C027B4" w:rsidR="009548B9" w:rsidRPr="00044C30" w:rsidRDefault="00083D5B" w:rsidP="009548B9">
      <w:pPr>
        <w:pStyle w:val="ListParagraph"/>
        <w:numPr>
          <w:ilvl w:val="0"/>
          <w:numId w:val="15"/>
        </w:numPr>
        <w:rPr>
          <w:rFonts w:ascii="Times New Roman" w:hAnsi="Times New Roman" w:cs="Times New Roman"/>
        </w:rPr>
      </w:pPr>
      <w:r w:rsidRPr="00044C30">
        <w:rPr>
          <w:rFonts w:ascii="Times New Roman" w:hAnsi="Times New Roman" w:cs="Times New Roman"/>
        </w:rPr>
        <w:t xml:space="preserve">overlay in medical records creating </w:t>
      </w:r>
      <w:r w:rsidR="009548B9" w:rsidRPr="00044C30">
        <w:rPr>
          <w:rFonts w:ascii="Times New Roman" w:hAnsi="Times New Roman" w:cs="Times New Roman"/>
        </w:rPr>
        <w:t>one record for multiple people;</w:t>
      </w:r>
    </w:p>
    <w:p w14:paraId="6557501B" w14:textId="552ECBF4" w:rsidR="00467949" w:rsidRDefault="00083D5B" w:rsidP="00467949">
      <w:pPr>
        <w:pStyle w:val="ListParagraph"/>
        <w:numPr>
          <w:ilvl w:val="0"/>
          <w:numId w:val="15"/>
        </w:numPr>
        <w:rPr>
          <w:rFonts w:ascii="Times New Roman" w:hAnsi="Times New Roman" w:cs="Times New Roman"/>
        </w:rPr>
      </w:pPr>
      <w:r w:rsidRPr="00044C30">
        <w:rPr>
          <w:rFonts w:ascii="Times New Roman" w:hAnsi="Times New Roman" w:cs="Times New Roman"/>
        </w:rPr>
        <w:t>patient</w:t>
      </w:r>
      <w:r w:rsidR="00467949">
        <w:rPr>
          <w:rFonts w:ascii="Times New Roman" w:hAnsi="Times New Roman" w:cs="Times New Roman"/>
        </w:rPr>
        <w:t>s</w:t>
      </w:r>
      <w:r w:rsidRPr="00044C30">
        <w:rPr>
          <w:rFonts w:ascii="Times New Roman" w:hAnsi="Times New Roman" w:cs="Times New Roman"/>
        </w:rPr>
        <w:t xml:space="preserve"> having multip</w:t>
      </w:r>
      <w:r w:rsidR="009548B9" w:rsidRPr="00044C30">
        <w:rPr>
          <w:rFonts w:ascii="Times New Roman" w:hAnsi="Times New Roman" w:cs="Times New Roman"/>
        </w:rPr>
        <w:t xml:space="preserve">le </w:t>
      </w:r>
      <w:r w:rsidR="00467949">
        <w:rPr>
          <w:rFonts w:ascii="Times New Roman" w:hAnsi="Times New Roman" w:cs="Times New Roman"/>
        </w:rPr>
        <w:t xml:space="preserve">or duplicate </w:t>
      </w:r>
      <w:r w:rsidR="00521559">
        <w:rPr>
          <w:rFonts w:ascii="Times New Roman" w:hAnsi="Times New Roman" w:cs="Times New Roman"/>
        </w:rPr>
        <w:t xml:space="preserve">partial </w:t>
      </w:r>
      <w:r w:rsidR="009548B9" w:rsidRPr="00044C30">
        <w:rPr>
          <w:rFonts w:ascii="Times New Roman" w:hAnsi="Times New Roman" w:cs="Times New Roman"/>
        </w:rPr>
        <w:t>medical records;</w:t>
      </w:r>
      <w:r w:rsidRPr="00044C30">
        <w:rPr>
          <w:rFonts w:ascii="Times New Roman" w:hAnsi="Times New Roman" w:cs="Times New Roman"/>
        </w:rPr>
        <w:t xml:space="preserve"> </w:t>
      </w:r>
    </w:p>
    <w:p w14:paraId="2F3AC67E" w14:textId="1FB1CCA3" w:rsidR="00521559" w:rsidRPr="00044C30" w:rsidRDefault="00521559" w:rsidP="00467949">
      <w:pPr>
        <w:pStyle w:val="ListParagraph"/>
        <w:numPr>
          <w:ilvl w:val="0"/>
          <w:numId w:val="15"/>
        </w:numPr>
        <w:rPr>
          <w:rFonts w:ascii="Times New Roman" w:hAnsi="Times New Roman" w:cs="Times New Roman"/>
        </w:rPr>
      </w:pPr>
      <w:r>
        <w:rPr>
          <w:rFonts w:ascii="Times New Roman" w:hAnsi="Times New Roman" w:cs="Times New Roman"/>
        </w:rPr>
        <w:t>error during patient registration;</w:t>
      </w:r>
    </w:p>
    <w:p w14:paraId="6BC57FAF" w14:textId="55DF8643" w:rsidR="009548B9" w:rsidRPr="00044C30" w:rsidRDefault="009548B9" w:rsidP="009548B9">
      <w:pPr>
        <w:pStyle w:val="ListParagraph"/>
        <w:numPr>
          <w:ilvl w:val="0"/>
          <w:numId w:val="15"/>
        </w:numPr>
        <w:rPr>
          <w:rFonts w:ascii="Times New Roman" w:hAnsi="Times New Roman" w:cs="Times New Roman"/>
        </w:rPr>
      </w:pPr>
      <w:r w:rsidRPr="00044C30">
        <w:rPr>
          <w:rFonts w:ascii="Times New Roman" w:hAnsi="Times New Roman" w:cs="Times New Roman"/>
        </w:rPr>
        <w:t>e</w:t>
      </w:r>
      <w:r w:rsidR="00467949">
        <w:rPr>
          <w:rFonts w:ascii="Times New Roman" w:hAnsi="Times New Roman" w:cs="Times New Roman"/>
        </w:rPr>
        <w:t>rror in transcription or data entry;</w:t>
      </w:r>
      <w:r w:rsidR="00837387">
        <w:rPr>
          <w:rFonts w:ascii="Times New Roman" w:hAnsi="Times New Roman" w:cs="Times New Roman"/>
        </w:rPr>
        <w:t xml:space="preserve"> and, or</w:t>
      </w:r>
    </w:p>
    <w:p w14:paraId="12C0409B" w14:textId="0DF2F0EF" w:rsidR="009548B9" w:rsidRDefault="00083D5B" w:rsidP="009548B9">
      <w:pPr>
        <w:pStyle w:val="ListParagraph"/>
        <w:numPr>
          <w:ilvl w:val="0"/>
          <w:numId w:val="15"/>
        </w:numPr>
        <w:rPr>
          <w:rFonts w:ascii="Times New Roman" w:hAnsi="Times New Roman" w:cs="Times New Roman"/>
        </w:rPr>
      </w:pPr>
      <w:r w:rsidRPr="00044C30">
        <w:rPr>
          <w:rFonts w:ascii="Times New Roman" w:hAnsi="Times New Roman" w:cs="Times New Roman"/>
        </w:rPr>
        <w:t>absence</w:t>
      </w:r>
      <w:r w:rsidR="00467949">
        <w:rPr>
          <w:rFonts w:ascii="Times New Roman" w:hAnsi="Times New Roman" w:cs="Times New Roman"/>
        </w:rPr>
        <w:t>s</w:t>
      </w:r>
      <w:r w:rsidRPr="00044C30">
        <w:rPr>
          <w:rFonts w:ascii="Times New Roman" w:hAnsi="Times New Roman" w:cs="Times New Roman"/>
        </w:rPr>
        <w:t xml:space="preserve"> in</w:t>
      </w:r>
      <w:r w:rsidR="00837387">
        <w:rPr>
          <w:rFonts w:ascii="Times New Roman" w:hAnsi="Times New Roman" w:cs="Times New Roman"/>
        </w:rPr>
        <w:t xml:space="preserve"> the patient’s medical records. </w:t>
      </w:r>
    </w:p>
    <w:p w14:paraId="376CA91A" w14:textId="77777777" w:rsidR="00083D5B" w:rsidRPr="00044C30" w:rsidRDefault="00083D5B" w:rsidP="00083D5B">
      <w:pPr>
        <w:rPr>
          <w:rFonts w:ascii="Times New Roman" w:hAnsi="Times New Roman" w:cs="Times New Roman"/>
        </w:rPr>
      </w:pPr>
    </w:p>
    <w:p w14:paraId="36331FA1" w14:textId="62572E3D" w:rsidR="00A0396D" w:rsidRDefault="00083D5B" w:rsidP="00083D5B">
      <w:pPr>
        <w:rPr>
          <w:rFonts w:ascii="Times New Roman" w:hAnsi="Times New Roman" w:cs="Times New Roman"/>
        </w:rPr>
      </w:pPr>
      <w:r w:rsidRPr="00044C30">
        <w:rPr>
          <w:rFonts w:ascii="Times New Roman" w:hAnsi="Times New Roman" w:cs="Times New Roman"/>
        </w:rPr>
        <w:t>A 2009 article estimated that eliminating duplicate tests would have saved hospitals in the United States $8 billion in the year 2004.</w:t>
      </w:r>
      <w:r w:rsidRPr="00044C30">
        <w:rPr>
          <w:rStyle w:val="FootnoteReference"/>
          <w:rFonts w:ascii="Times New Roman" w:hAnsi="Times New Roman" w:cs="Times New Roman"/>
        </w:rPr>
        <w:footnoteReference w:id="5"/>
      </w:r>
      <w:r w:rsidRPr="00044C30">
        <w:rPr>
          <w:rFonts w:ascii="Times New Roman" w:hAnsi="Times New Roman" w:cs="Times New Roman"/>
        </w:rPr>
        <w:t xml:space="preserve"> O</w:t>
      </w:r>
      <w:r w:rsidR="001A6276">
        <w:rPr>
          <w:rFonts w:ascii="Times New Roman" w:hAnsi="Times New Roman" w:cs="Times New Roman"/>
        </w:rPr>
        <w:t>ther articles report</w:t>
      </w:r>
      <w:r w:rsidRPr="00044C30">
        <w:rPr>
          <w:rFonts w:ascii="Times New Roman" w:hAnsi="Times New Roman" w:cs="Times New Roman"/>
        </w:rPr>
        <w:t xml:space="preserve"> </w:t>
      </w:r>
      <w:r w:rsidR="001A2156">
        <w:rPr>
          <w:rFonts w:ascii="Times New Roman" w:hAnsi="Times New Roman" w:cs="Times New Roman"/>
        </w:rPr>
        <w:t>$</w:t>
      </w:r>
      <w:r w:rsidRPr="00044C30">
        <w:rPr>
          <w:rFonts w:ascii="Times New Roman" w:hAnsi="Times New Roman" w:cs="Times New Roman"/>
        </w:rPr>
        <w:t xml:space="preserve">20 billion </w:t>
      </w:r>
      <w:r w:rsidR="001A6276">
        <w:rPr>
          <w:rFonts w:ascii="Times New Roman" w:hAnsi="Times New Roman" w:cs="Times New Roman"/>
        </w:rPr>
        <w:t xml:space="preserve">is </w:t>
      </w:r>
      <w:r w:rsidRPr="00044C30">
        <w:rPr>
          <w:rFonts w:ascii="Times New Roman" w:hAnsi="Times New Roman" w:cs="Times New Roman"/>
        </w:rPr>
        <w:t>wasted on duplicate testing every year.</w:t>
      </w:r>
      <w:r w:rsidRPr="00044C30">
        <w:rPr>
          <w:rStyle w:val="FootnoteReference"/>
          <w:rFonts w:ascii="Times New Roman" w:hAnsi="Times New Roman" w:cs="Times New Roman"/>
        </w:rPr>
        <w:footnoteReference w:id="6"/>
      </w:r>
      <w:r w:rsidRPr="00044C30">
        <w:rPr>
          <w:rFonts w:ascii="Times New Roman" w:hAnsi="Times New Roman" w:cs="Times New Roman"/>
        </w:rPr>
        <w:t xml:space="preserve"> </w:t>
      </w:r>
      <w:r w:rsidR="001A6276">
        <w:rPr>
          <w:rFonts w:ascii="Times New Roman" w:hAnsi="Times New Roman" w:cs="Times New Roman"/>
        </w:rPr>
        <w:t>One article even claims $200 billion is wasted annually on excessive testing and treatment.</w:t>
      </w:r>
      <w:r w:rsidR="001A6276">
        <w:rPr>
          <w:rStyle w:val="FootnoteReference"/>
          <w:rFonts w:ascii="Times New Roman" w:hAnsi="Times New Roman" w:cs="Times New Roman"/>
        </w:rPr>
        <w:footnoteReference w:id="7"/>
      </w:r>
      <w:r w:rsidR="001A6276">
        <w:rPr>
          <w:rFonts w:ascii="Times New Roman" w:hAnsi="Times New Roman" w:cs="Times New Roman"/>
        </w:rPr>
        <w:t xml:space="preserve"> It has been suggested that</w:t>
      </w:r>
      <w:r w:rsidRPr="00044C30">
        <w:rPr>
          <w:rFonts w:ascii="Times New Roman" w:hAnsi="Times New Roman" w:cs="Times New Roman"/>
        </w:rPr>
        <w:t xml:space="preserve"> each duplicate test costs $1,099.</w:t>
      </w:r>
      <w:r w:rsidRPr="00044C30">
        <w:rPr>
          <w:rStyle w:val="FootnoteReference"/>
          <w:rFonts w:ascii="Times New Roman" w:hAnsi="Times New Roman" w:cs="Times New Roman"/>
        </w:rPr>
        <w:footnoteReference w:id="8"/>
      </w:r>
      <w:r w:rsidR="006460B3">
        <w:rPr>
          <w:rFonts w:ascii="Times New Roman" w:hAnsi="Times New Roman" w:cs="Times New Roman"/>
        </w:rPr>
        <w:t xml:space="preserve"> Based on the costs to patients and </w:t>
      </w:r>
      <w:r w:rsidR="001A6276">
        <w:rPr>
          <w:rFonts w:ascii="Times New Roman" w:hAnsi="Times New Roman" w:cs="Times New Roman"/>
        </w:rPr>
        <w:t>payers</w:t>
      </w:r>
      <w:r w:rsidR="006460B3">
        <w:rPr>
          <w:rFonts w:ascii="Times New Roman" w:hAnsi="Times New Roman" w:cs="Times New Roman"/>
        </w:rPr>
        <w:t xml:space="preserve">, </w:t>
      </w:r>
      <w:r w:rsidR="00A0396D">
        <w:rPr>
          <w:rFonts w:ascii="Times New Roman" w:hAnsi="Times New Roman" w:cs="Times New Roman"/>
        </w:rPr>
        <w:t xml:space="preserve">reducing or eliminating </w:t>
      </w:r>
      <w:r w:rsidR="006460B3">
        <w:rPr>
          <w:rFonts w:ascii="Times New Roman" w:hAnsi="Times New Roman" w:cs="Times New Roman"/>
        </w:rPr>
        <w:t>duplicate testing</w:t>
      </w:r>
      <w:r w:rsidR="00A0396D">
        <w:rPr>
          <w:rFonts w:ascii="Times New Roman" w:hAnsi="Times New Roman" w:cs="Times New Roman"/>
        </w:rPr>
        <w:t xml:space="preserve"> </w:t>
      </w:r>
      <w:r w:rsidR="00946BF1">
        <w:rPr>
          <w:rFonts w:ascii="Times New Roman" w:hAnsi="Times New Roman" w:cs="Times New Roman"/>
        </w:rPr>
        <w:t>may</w:t>
      </w:r>
      <w:r w:rsidR="00A0396D">
        <w:rPr>
          <w:rFonts w:ascii="Times New Roman" w:hAnsi="Times New Roman" w:cs="Times New Roman"/>
        </w:rPr>
        <w:t xml:space="preserve"> provide savings to patients and </w:t>
      </w:r>
      <w:r w:rsidR="001A6276">
        <w:rPr>
          <w:rFonts w:ascii="Times New Roman" w:hAnsi="Times New Roman" w:cs="Times New Roman"/>
        </w:rPr>
        <w:t>payers</w:t>
      </w:r>
      <w:r w:rsidR="006460B3">
        <w:rPr>
          <w:rFonts w:ascii="Times New Roman" w:hAnsi="Times New Roman" w:cs="Times New Roman"/>
        </w:rPr>
        <w:t xml:space="preserve">. </w:t>
      </w:r>
    </w:p>
    <w:p w14:paraId="10433A21" w14:textId="77777777" w:rsidR="00A0396D" w:rsidRDefault="00A0396D" w:rsidP="00083D5B">
      <w:pPr>
        <w:rPr>
          <w:rFonts w:ascii="Times New Roman" w:hAnsi="Times New Roman" w:cs="Times New Roman"/>
        </w:rPr>
      </w:pPr>
    </w:p>
    <w:p w14:paraId="5EA02149" w14:textId="6FB01F22" w:rsidR="00FC56B1" w:rsidRPr="00044C30" w:rsidRDefault="001A6276" w:rsidP="00083D5B">
      <w:pPr>
        <w:rPr>
          <w:rFonts w:ascii="Times New Roman" w:hAnsi="Times New Roman" w:cs="Times New Roman"/>
        </w:rPr>
      </w:pPr>
      <w:r>
        <w:rPr>
          <w:rFonts w:ascii="Times New Roman" w:hAnsi="Times New Roman" w:cs="Times New Roman"/>
        </w:rPr>
        <w:t xml:space="preserve">It has been </w:t>
      </w:r>
      <w:r w:rsidR="00562D58">
        <w:rPr>
          <w:rFonts w:ascii="Times New Roman" w:hAnsi="Times New Roman" w:cs="Times New Roman"/>
        </w:rPr>
        <w:t>theorized</w:t>
      </w:r>
      <w:r>
        <w:rPr>
          <w:rFonts w:ascii="Times New Roman" w:hAnsi="Times New Roman" w:cs="Times New Roman"/>
        </w:rPr>
        <w:t xml:space="preserve"> that duplicate testing may be avoided</w:t>
      </w:r>
      <w:r w:rsidR="00083D5B" w:rsidRPr="00044C30">
        <w:rPr>
          <w:rFonts w:ascii="Times New Roman" w:hAnsi="Times New Roman" w:cs="Times New Roman"/>
        </w:rPr>
        <w:t xml:space="preserve"> by reducing</w:t>
      </w:r>
      <w:r w:rsidR="006460B3">
        <w:rPr>
          <w:rFonts w:ascii="Times New Roman" w:hAnsi="Times New Roman" w:cs="Times New Roman"/>
        </w:rPr>
        <w:t xml:space="preserve"> a</w:t>
      </w:r>
      <w:r w:rsidR="00083D5B" w:rsidRPr="00044C30">
        <w:rPr>
          <w:rFonts w:ascii="Times New Roman" w:hAnsi="Times New Roman" w:cs="Times New Roman"/>
        </w:rPr>
        <w:t xml:space="preserve"> patient’s privacy rights and</w:t>
      </w:r>
      <w:r w:rsidR="00946BF1">
        <w:rPr>
          <w:rFonts w:ascii="Times New Roman" w:hAnsi="Times New Roman" w:cs="Times New Roman"/>
        </w:rPr>
        <w:t>, or</w:t>
      </w:r>
      <w:r w:rsidR="00083D5B" w:rsidRPr="00044C30">
        <w:rPr>
          <w:rFonts w:ascii="Times New Roman" w:hAnsi="Times New Roman" w:cs="Times New Roman"/>
        </w:rPr>
        <w:t xml:space="preserve"> increasing the use</w:t>
      </w:r>
      <w:r w:rsidR="00946BF1">
        <w:rPr>
          <w:rFonts w:ascii="Times New Roman" w:hAnsi="Times New Roman" w:cs="Times New Roman"/>
        </w:rPr>
        <w:t xml:space="preserve"> and efficiency</w:t>
      </w:r>
      <w:r w:rsidR="00083D5B" w:rsidRPr="00044C30">
        <w:rPr>
          <w:rFonts w:ascii="Times New Roman" w:hAnsi="Times New Roman" w:cs="Times New Roman"/>
        </w:rPr>
        <w:t xml:space="preserve"> of electronic health records (EHR).</w:t>
      </w:r>
      <w:r w:rsidR="00083D5B" w:rsidRPr="00044C30">
        <w:rPr>
          <w:rStyle w:val="FootnoteReference"/>
          <w:rFonts w:ascii="Times New Roman" w:hAnsi="Times New Roman" w:cs="Times New Roman"/>
        </w:rPr>
        <w:footnoteReference w:id="9"/>
      </w:r>
      <w:r w:rsidR="00083D5B" w:rsidRPr="00044C30">
        <w:rPr>
          <w:rFonts w:ascii="Times New Roman" w:hAnsi="Times New Roman" w:cs="Times New Roman"/>
        </w:rPr>
        <w:t xml:space="preserve"> Using an electronic medical record system or health information exchange (HIE), like the eHealth Exchange, </w:t>
      </w:r>
      <w:r w:rsidR="000715A6">
        <w:rPr>
          <w:rFonts w:ascii="Times New Roman" w:hAnsi="Times New Roman" w:cs="Times New Roman"/>
        </w:rPr>
        <w:t>likely improves</w:t>
      </w:r>
      <w:r w:rsidR="00083D5B" w:rsidRPr="00044C30">
        <w:rPr>
          <w:rFonts w:ascii="Times New Roman" w:hAnsi="Times New Roman" w:cs="Times New Roman"/>
        </w:rPr>
        <w:t xml:space="preserve"> health care providers and professionals</w:t>
      </w:r>
      <w:r w:rsidR="000715A6">
        <w:rPr>
          <w:rFonts w:ascii="Times New Roman" w:hAnsi="Times New Roman" w:cs="Times New Roman"/>
        </w:rPr>
        <w:t xml:space="preserve"> access to records; dependent </w:t>
      </w:r>
      <w:r w:rsidR="000715A6">
        <w:rPr>
          <w:rFonts w:ascii="Times New Roman" w:hAnsi="Times New Roman" w:cs="Times New Roman"/>
        </w:rPr>
        <w:lastRenderedPageBreak/>
        <w:t>upon state law.</w:t>
      </w:r>
      <w:r w:rsidR="00A760CF">
        <w:rPr>
          <w:rFonts w:ascii="Times New Roman" w:hAnsi="Times New Roman" w:cs="Times New Roman"/>
        </w:rPr>
        <w:t xml:space="preserve"> </w:t>
      </w:r>
      <w:r w:rsidR="00083D5B" w:rsidRPr="00044C30">
        <w:rPr>
          <w:rFonts w:ascii="Times New Roman" w:hAnsi="Times New Roman" w:cs="Times New Roman"/>
        </w:rPr>
        <w:t>As a result, professionals with</w:t>
      </w:r>
      <w:r w:rsidR="00A760CF">
        <w:rPr>
          <w:rFonts w:ascii="Times New Roman" w:hAnsi="Times New Roman" w:cs="Times New Roman"/>
        </w:rPr>
        <w:t xml:space="preserve"> quick</w:t>
      </w:r>
      <w:r w:rsidR="00083D5B" w:rsidRPr="00044C30">
        <w:rPr>
          <w:rFonts w:ascii="Times New Roman" w:hAnsi="Times New Roman" w:cs="Times New Roman"/>
        </w:rPr>
        <w:t xml:space="preserve"> </w:t>
      </w:r>
      <w:r w:rsidR="00A760CF">
        <w:rPr>
          <w:rFonts w:ascii="Times New Roman" w:hAnsi="Times New Roman" w:cs="Times New Roman"/>
        </w:rPr>
        <w:t xml:space="preserve">access to </w:t>
      </w:r>
      <w:r w:rsidR="00083D5B" w:rsidRPr="00044C30">
        <w:rPr>
          <w:rFonts w:ascii="Times New Roman" w:hAnsi="Times New Roman" w:cs="Times New Roman"/>
        </w:rPr>
        <w:t xml:space="preserve">complete and accurate records </w:t>
      </w:r>
      <w:r>
        <w:rPr>
          <w:rFonts w:ascii="Times New Roman" w:hAnsi="Times New Roman" w:cs="Times New Roman"/>
        </w:rPr>
        <w:t xml:space="preserve">may be </w:t>
      </w:r>
      <w:r w:rsidR="00083D5B" w:rsidRPr="00044C30">
        <w:rPr>
          <w:rFonts w:ascii="Times New Roman" w:hAnsi="Times New Roman" w:cs="Times New Roman"/>
        </w:rPr>
        <w:t>less likely to order duplicate testing.</w:t>
      </w:r>
      <w:r w:rsidR="00083D5B" w:rsidRPr="00044C30">
        <w:rPr>
          <w:rStyle w:val="FootnoteReference"/>
          <w:rFonts w:ascii="Times New Roman" w:hAnsi="Times New Roman" w:cs="Times New Roman"/>
        </w:rPr>
        <w:footnoteReference w:id="10"/>
      </w:r>
      <w:r w:rsidR="00083D5B" w:rsidRPr="00044C30">
        <w:rPr>
          <w:rFonts w:ascii="Times New Roman" w:hAnsi="Times New Roman" w:cs="Times New Roman"/>
        </w:rPr>
        <w:t xml:space="preserve"> </w:t>
      </w:r>
    </w:p>
    <w:p w14:paraId="4029DB5D" w14:textId="10C8CA27" w:rsidR="00FC56B1" w:rsidRDefault="00FC56B1" w:rsidP="00083D5B">
      <w:pPr>
        <w:rPr>
          <w:rFonts w:ascii="Times New Roman" w:hAnsi="Times New Roman" w:cs="Times New Roman"/>
        </w:rPr>
      </w:pPr>
    </w:p>
    <w:p w14:paraId="0794A90E" w14:textId="5C033C32" w:rsidR="00A760CF" w:rsidRDefault="00A760CF" w:rsidP="00A760CF">
      <w:pPr>
        <w:rPr>
          <w:rFonts w:ascii="Times New Roman" w:hAnsi="Times New Roman" w:cs="Times New Roman"/>
        </w:rPr>
      </w:pPr>
      <w:r>
        <w:rPr>
          <w:rFonts w:ascii="Times New Roman" w:hAnsi="Times New Roman" w:cs="Times New Roman"/>
        </w:rPr>
        <w:t>A</w:t>
      </w:r>
      <w:r w:rsidRPr="00A760CF">
        <w:rPr>
          <w:rFonts w:ascii="Times New Roman" w:hAnsi="Times New Roman" w:cs="Times New Roman"/>
        </w:rPr>
        <w:t xml:space="preserve">s described in Part I, Minnesota currently ranks just three percent below the national average for the </w:t>
      </w:r>
      <w:r w:rsidR="000C6F97">
        <w:rPr>
          <w:rFonts w:ascii="Times New Roman" w:hAnsi="Times New Roman" w:cs="Times New Roman"/>
        </w:rPr>
        <w:t>cap</w:t>
      </w:r>
      <w:r w:rsidRPr="00A760CF">
        <w:rPr>
          <w:rFonts w:ascii="Times New Roman" w:hAnsi="Times New Roman" w:cs="Times New Roman"/>
        </w:rPr>
        <w:t xml:space="preserve">ability to electronically share summary of care records with outside providers.  Additionally, Minnesota currently exceeds the national average by six percent, for the </w:t>
      </w:r>
      <w:r w:rsidR="000C6F97">
        <w:rPr>
          <w:rFonts w:ascii="Times New Roman" w:hAnsi="Times New Roman" w:cs="Times New Roman"/>
        </w:rPr>
        <w:t>cap</w:t>
      </w:r>
      <w:r w:rsidRPr="00A760CF">
        <w:rPr>
          <w:rFonts w:ascii="Times New Roman" w:hAnsi="Times New Roman" w:cs="Times New Roman"/>
        </w:rPr>
        <w:t>ability to electronically share lab results with outside providers.</w:t>
      </w:r>
      <w:r w:rsidR="00EA6620">
        <w:rPr>
          <w:rStyle w:val="FootnoteReference"/>
          <w:rFonts w:ascii="Times New Roman" w:hAnsi="Times New Roman" w:cs="Times New Roman"/>
        </w:rPr>
        <w:footnoteReference w:id="11"/>
      </w:r>
      <w:r w:rsidRPr="00A760CF">
        <w:rPr>
          <w:rFonts w:ascii="Times New Roman" w:hAnsi="Times New Roman" w:cs="Times New Roman"/>
        </w:rPr>
        <w:t xml:space="preserve">  This is demonstrated in the first graphic below. Furthermore, Minnesota currently exceeds the national average by 13 percent, for the </w:t>
      </w:r>
      <w:r w:rsidR="0000024A">
        <w:rPr>
          <w:rFonts w:ascii="Times New Roman" w:hAnsi="Times New Roman" w:cs="Times New Roman"/>
        </w:rPr>
        <w:t>cap</w:t>
      </w:r>
      <w:r w:rsidRPr="00A760CF">
        <w:rPr>
          <w:rFonts w:ascii="Times New Roman" w:hAnsi="Times New Roman" w:cs="Times New Roman"/>
        </w:rPr>
        <w:t>ability to electronically share lab r</w:t>
      </w:r>
      <w:r w:rsidR="001C03D3">
        <w:rPr>
          <w:rFonts w:ascii="Times New Roman" w:hAnsi="Times New Roman" w:cs="Times New Roman"/>
        </w:rPr>
        <w:t xml:space="preserve">esults with outside hospitals. </w:t>
      </w:r>
      <w:r w:rsidRPr="00A760CF">
        <w:rPr>
          <w:rFonts w:ascii="Times New Roman" w:hAnsi="Times New Roman" w:cs="Times New Roman"/>
        </w:rPr>
        <w:t>This is demonstrated in the second</w:t>
      </w:r>
      <w:r w:rsidR="00C529BB">
        <w:rPr>
          <w:rFonts w:ascii="Times New Roman" w:hAnsi="Times New Roman" w:cs="Times New Roman"/>
        </w:rPr>
        <w:t xml:space="preserve"> graphic, which can be found on the following page, page four</w:t>
      </w:r>
      <w:r w:rsidRPr="00A760CF">
        <w:rPr>
          <w:rFonts w:ascii="Times New Roman" w:hAnsi="Times New Roman" w:cs="Times New Roman"/>
        </w:rPr>
        <w:t>.</w:t>
      </w:r>
    </w:p>
    <w:p w14:paraId="3F0DA61D" w14:textId="77777777" w:rsidR="00EA6620" w:rsidRPr="00A760CF" w:rsidRDefault="00EA6620" w:rsidP="00A760CF">
      <w:pPr>
        <w:rPr>
          <w:rFonts w:ascii="Times New Roman" w:hAnsi="Times New Roman" w:cs="Times New Roman"/>
        </w:rPr>
      </w:pPr>
    </w:p>
    <w:p w14:paraId="1BE570EB" w14:textId="77777777" w:rsidR="00FC56B1" w:rsidRPr="00044C30" w:rsidRDefault="00FC56B1" w:rsidP="00083D5B">
      <w:pPr>
        <w:rPr>
          <w:rFonts w:ascii="Times New Roman" w:hAnsi="Times New Roman" w:cs="Times New Roman"/>
        </w:rPr>
      </w:pPr>
    </w:p>
    <w:p w14:paraId="4C29A689" w14:textId="77777777" w:rsidR="00DE1AF2" w:rsidRPr="00044C30" w:rsidRDefault="00DE1AF2" w:rsidP="00083D5B">
      <w:pPr>
        <w:rPr>
          <w:rFonts w:ascii="Times New Roman" w:hAnsi="Times New Roman" w:cs="Times New Roman"/>
        </w:rPr>
      </w:pPr>
      <w:r w:rsidRPr="00044C30">
        <w:rPr>
          <w:rFonts w:ascii="Times New Roman" w:hAnsi="Times New Roman" w:cs="Times New Roman"/>
          <w:noProof/>
        </w:rPr>
        <w:drawing>
          <wp:inline distT="0" distB="0" distL="0" distR="0" wp14:anchorId="3AE104C8" wp14:editId="5A023E60">
            <wp:extent cx="5943600" cy="2672715"/>
            <wp:effectExtent l="0" t="0" r="0" b="0"/>
            <wp:docPr id="1" name="Picture 1" descr="Map of United States that shows the percent of hospitals in each state with the capability to exchance summary of care record with any outside providers.  The national average i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hospitals sharing labs with outside providers.png"/>
                    <pic:cNvPicPr/>
                  </pic:nvPicPr>
                  <pic:blipFill>
                    <a:blip r:embed="rId9">
                      <a:extLst>
                        <a:ext uri="{28A0092B-C50C-407E-A947-70E740481C1C}">
                          <a14:useLocalDpi xmlns:a14="http://schemas.microsoft.com/office/drawing/2010/main" val="0"/>
                        </a:ext>
                      </a:extLst>
                    </a:blip>
                    <a:stretch>
                      <a:fillRect/>
                    </a:stretch>
                  </pic:blipFill>
                  <pic:spPr>
                    <a:xfrm>
                      <a:off x="0" y="0"/>
                      <a:ext cx="5943600" cy="2672715"/>
                    </a:xfrm>
                    <a:prstGeom prst="rect">
                      <a:avLst/>
                    </a:prstGeom>
                  </pic:spPr>
                </pic:pic>
              </a:graphicData>
            </a:graphic>
          </wp:inline>
        </w:drawing>
      </w:r>
    </w:p>
    <w:p w14:paraId="74E6B453" w14:textId="77777777" w:rsidR="00083D5B" w:rsidRPr="00044C30" w:rsidRDefault="00083D5B" w:rsidP="00083D5B">
      <w:pPr>
        <w:rPr>
          <w:rFonts w:ascii="Times New Roman" w:hAnsi="Times New Roman" w:cs="Times New Roman"/>
        </w:rPr>
      </w:pPr>
    </w:p>
    <w:p w14:paraId="51A0DD32" w14:textId="77777777" w:rsidR="00DE1AF2" w:rsidRPr="00044C30" w:rsidRDefault="00DE1AF2" w:rsidP="00083D5B">
      <w:pPr>
        <w:rPr>
          <w:rFonts w:ascii="Times New Roman" w:hAnsi="Times New Roman" w:cs="Times New Roman"/>
        </w:rPr>
      </w:pPr>
      <w:r w:rsidRPr="00044C30">
        <w:rPr>
          <w:rFonts w:ascii="Times New Roman" w:hAnsi="Times New Roman" w:cs="Times New Roman"/>
          <w:noProof/>
        </w:rPr>
        <w:lastRenderedPageBreak/>
        <w:drawing>
          <wp:inline distT="0" distB="0" distL="0" distR="0" wp14:anchorId="29919DCC" wp14:editId="42FB0D3A">
            <wp:extent cx="5943600" cy="2672715"/>
            <wp:effectExtent l="0" t="0" r="0" b="0"/>
            <wp:docPr id="2" name="Picture 2" descr="Map of United States that shows the percent of hospitals with the capability to electronically share lab results with outside hospitals.  The national average 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hospitals sharing labs with outisde hospitals.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672715"/>
                    </a:xfrm>
                    <a:prstGeom prst="rect">
                      <a:avLst/>
                    </a:prstGeom>
                  </pic:spPr>
                </pic:pic>
              </a:graphicData>
            </a:graphic>
          </wp:inline>
        </w:drawing>
      </w:r>
    </w:p>
    <w:p w14:paraId="2352A98C" w14:textId="77777777" w:rsidR="005A6417" w:rsidRPr="00044C30" w:rsidRDefault="005A6417" w:rsidP="00083D5B">
      <w:pPr>
        <w:rPr>
          <w:rFonts w:ascii="Times New Roman" w:hAnsi="Times New Roman" w:cs="Times New Roman"/>
        </w:rPr>
      </w:pPr>
    </w:p>
    <w:p w14:paraId="353F264B" w14:textId="27B71AC8" w:rsidR="00294ED7" w:rsidRPr="00044C30" w:rsidRDefault="005A6417" w:rsidP="00083D5B">
      <w:pPr>
        <w:rPr>
          <w:rFonts w:ascii="Times New Roman" w:hAnsi="Times New Roman" w:cs="Times New Roman"/>
        </w:rPr>
      </w:pPr>
      <w:r w:rsidRPr="00044C30">
        <w:rPr>
          <w:rFonts w:ascii="Times New Roman" w:hAnsi="Times New Roman" w:cs="Times New Roman"/>
        </w:rPr>
        <w:t xml:space="preserve">As these maps depict, </w:t>
      </w:r>
      <w:r w:rsidR="00EA6620">
        <w:rPr>
          <w:rFonts w:ascii="Times New Roman" w:hAnsi="Times New Roman" w:cs="Times New Roman"/>
        </w:rPr>
        <w:t xml:space="preserve">Minnesota hospitals consistently rank above average in their </w:t>
      </w:r>
      <w:r w:rsidR="00DA4E07">
        <w:rPr>
          <w:rFonts w:ascii="Times New Roman" w:hAnsi="Times New Roman" w:cs="Times New Roman"/>
        </w:rPr>
        <w:t>cap</w:t>
      </w:r>
      <w:r w:rsidR="00EA6620">
        <w:rPr>
          <w:rFonts w:ascii="Times New Roman" w:hAnsi="Times New Roman" w:cs="Times New Roman"/>
        </w:rPr>
        <w:t>ability to el</w:t>
      </w:r>
      <w:r w:rsidR="000715A6">
        <w:rPr>
          <w:rFonts w:ascii="Times New Roman" w:hAnsi="Times New Roman" w:cs="Times New Roman"/>
        </w:rPr>
        <w:t>ectronically share information.</w:t>
      </w:r>
    </w:p>
    <w:p w14:paraId="52ACDB32" w14:textId="77777777" w:rsidR="00294ED7" w:rsidRPr="00044C30" w:rsidRDefault="00294ED7" w:rsidP="00083D5B">
      <w:pPr>
        <w:rPr>
          <w:rFonts w:ascii="Times New Roman" w:hAnsi="Times New Roman" w:cs="Times New Roman"/>
        </w:rPr>
      </w:pPr>
    </w:p>
    <w:p w14:paraId="4C61DFBC" w14:textId="77777777" w:rsidR="00294ED7" w:rsidRPr="00044C30" w:rsidRDefault="00083D5B" w:rsidP="00083D5B">
      <w:pPr>
        <w:rPr>
          <w:rFonts w:ascii="Times New Roman" w:hAnsi="Times New Roman" w:cs="Times New Roman"/>
        </w:rPr>
      </w:pPr>
      <w:r w:rsidRPr="00044C30">
        <w:rPr>
          <w:rFonts w:ascii="Times New Roman" w:hAnsi="Times New Roman" w:cs="Times New Roman"/>
        </w:rPr>
        <w:t>A study of western New York’s networks, found that an HIE lowers the repetition of therapeutic procedures aimed at improving a patient’s condition. However, it also found that the HIE did not affect diagnostic procedures that determine the extent of a patient’s illness.</w:t>
      </w:r>
      <w:r w:rsidRPr="00044C30">
        <w:rPr>
          <w:rStyle w:val="FootnoteReference"/>
          <w:rFonts w:ascii="Times New Roman" w:hAnsi="Times New Roman" w:cs="Times New Roman"/>
        </w:rPr>
        <w:footnoteReference w:id="12"/>
      </w:r>
      <w:r w:rsidRPr="00044C30">
        <w:rPr>
          <w:rFonts w:ascii="Times New Roman" w:hAnsi="Times New Roman" w:cs="Times New Roman"/>
        </w:rPr>
        <w:t xml:space="preserve"> Another study also found that that HIEs are often not used to exchange lab and diagnostic test results, and that many of these systems do not allow for communication among health care professionals.</w:t>
      </w:r>
      <w:r w:rsidRPr="00044C30">
        <w:rPr>
          <w:rStyle w:val="FootnoteReference"/>
          <w:rFonts w:ascii="Times New Roman" w:hAnsi="Times New Roman" w:cs="Times New Roman"/>
        </w:rPr>
        <w:footnoteReference w:id="13"/>
      </w:r>
      <w:r w:rsidR="00294ED7" w:rsidRPr="00044C30">
        <w:rPr>
          <w:rFonts w:ascii="Times New Roman" w:hAnsi="Times New Roman" w:cs="Times New Roman"/>
        </w:rPr>
        <w:t xml:space="preserve"> As a result, it is </w:t>
      </w:r>
      <w:r w:rsidRPr="00044C30">
        <w:rPr>
          <w:rFonts w:ascii="Times New Roman" w:hAnsi="Times New Roman" w:cs="Times New Roman"/>
        </w:rPr>
        <w:t xml:space="preserve">suggested that systems use what is known as Computerized Provider Order Entry (CPOE) to reduce the number of duplicate image tests, and what is known as Picture Archival and Communication Systems (PACS) to reduce duplicate radiology imaging examinations.  </w:t>
      </w:r>
    </w:p>
    <w:p w14:paraId="61D10F94" w14:textId="77777777" w:rsidR="00294ED7" w:rsidRPr="00044C30" w:rsidRDefault="00294ED7" w:rsidP="00083D5B">
      <w:pPr>
        <w:rPr>
          <w:rFonts w:ascii="Times New Roman" w:hAnsi="Times New Roman" w:cs="Times New Roman"/>
        </w:rPr>
      </w:pPr>
    </w:p>
    <w:p w14:paraId="2C4F8A44" w14:textId="7311C83B" w:rsidR="00AC1421" w:rsidRPr="00044C30" w:rsidRDefault="00083D5B" w:rsidP="00083D5B">
      <w:pPr>
        <w:rPr>
          <w:rFonts w:ascii="Times New Roman" w:hAnsi="Times New Roman" w:cs="Times New Roman"/>
        </w:rPr>
      </w:pPr>
      <w:r w:rsidRPr="00044C30">
        <w:rPr>
          <w:rFonts w:ascii="Times New Roman" w:hAnsi="Times New Roman" w:cs="Times New Roman"/>
        </w:rPr>
        <w:t>CPOEs have been found to reduce transcription error, provide real-time information to health care providers, and can be adapted to alert or block duplicate test orders for select tests.</w:t>
      </w:r>
      <w:r w:rsidRPr="00044C30">
        <w:rPr>
          <w:rStyle w:val="FootnoteReference"/>
          <w:rFonts w:ascii="Times New Roman" w:hAnsi="Times New Roman" w:cs="Times New Roman"/>
        </w:rPr>
        <w:footnoteReference w:id="14"/>
      </w:r>
      <w:r w:rsidR="00AC1421" w:rsidRPr="00044C30">
        <w:rPr>
          <w:rFonts w:ascii="Times New Roman" w:hAnsi="Times New Roman" w:cs="Times New Roman"/>
        </w:rPr>
        <w:t xml:space="preserve"> A two</w:t>
      </w:r>
      <w:r w:rsidRPr="00044C30">
        <w:rPr>
          <w:rFonts w:ascii="Times New Roman" w:hAnsi="Times New Roman" w:cs="Times New Roman"/>
        </w:rPr>
        <w:t xml:space="preserve"> year study at the Cleveland Clinic showed that a CPOE system, when combined with a Clinical Decision Support Tool (CDST), blocked 12,204 duplicate orders, and allo</w:t>
      </w:r>
      <w:r w:rsidR="00AB2E89">
        <w:rPr>
          <w:rFonts w:ascii="Times New Roman" w:hAnsi="Times New Roman" w:cs="Times New Roman"/>
        </w:rPr>
        <w:t>wed</w:t>
      </w:r>
      <w:r w:rsidRPr="00044C30">
        <w:rPr>
          <w:rFonts w:ascii="Times New Roman" w:hAnsi="Times New Roman" w:cs="Times New Roman"/>
        </w:rPr>
        <w:t xml:space="preserve"> only </w:t>
      </w:r>
      <w:r w:rsidRPr="00044C30">
        <w:rPr>
          <w:rFonts w:ascii="Times New Roman" w:hAnsi="Times New Roman" w:cs="Times New Roman"/>
        </w:rPr>
        <w:lastRenderedPageBreak/>
        <w:t>414 duplicate tests, making the CDST 96% effective and saving the Clinic $183,586.</w:t>
      </w:r>
      <w:r w:rsidRPr="00044C30">
        <w:rPr>
          <w:rStyle w:val="FootnoteReference"/>
          <w:rFonts w:ascii="Times New Roman" w:hAnsi="Times New Roman" w:cs="Times New Roman"/>
        </w:rPr>
        <w:footnoteReference w:id="15"/>
      </w:r>
      <w:r w:rsidRPr="00044C30">
        <w:rPr>
          <w:rFonts w:ascii="Times New Roman" w:hAnsi="Times New Roman" w:cs="Times New Roman"/>
        </w:rPr>
        <w:t xml:space="preserve"> This study used a CDST with a “hard block” that required a health care provider to call client services to override the blocking of a duplicate test order. </w:t>
      </w:r>
    </w:p>
    <w:p w14:paraId="027822F5" w14:textId="77777777" w:rsidR="00AC1421" w:rsidRPr="00044C30" w:rsidRDefault="00AC1421" w:rsidP="00083D5B">
      <w:pPr>
        <w:rPr>
          <w:rFonts w:ascii="Times New Roman" w:hAnsi="Times New Roman" w:cs="Times New Roman"/>
        </w:rPr>
      </w:pPr>
    </w:p>
    <w:p w14:paraId="55E1B2B8" w14:textId="120D05F7" w:rsidR="00083D5B" w:rsidRPr="00044C30" w:rsidRDefault="00083D5B" w:rsidP="00083D5B">
      <w:pPr>
        <w:rPr>
          <w:rFonts w:ascii="Times New Roman" w:hAnsi="Times New Roman" w:cs="Times New Roman"/>
        </w:rPr>
      </w:pPr>
      <w:r w:rsidRPr="00044C30">
        <w:rPr>
          <w:rFonts w:ascii="Times New Roman" w:hAnsi="Times New Roman" w:cs="Times New Roman"/>
        </w:rPr>
        <w:t>A second study of seven Cleveland area hospitals analyzed the use of a CDST using a “smart alert”. A smart alert</w:t>
      </w:r>
      <w:r w:rsidR="00A965C6">
        <w:rPr>
          <w:rFonts w:ascii="Times New Roman" w:hAnsi="Times New Roman" w:cs="Times New Roman"/>
        </w:rPr>
        <w:t xml:space="preserve"> is different from a hard block. It</w:t>
      </w:r>
      <w:r w:rsidRPr="00044C30">
        <w:rPr>
          <w:rFonts w:ascii="Times New Roman" w:hAnsi="Times New Roman" w:cs="Times New Roman"/>
        </w:rPr>
        <w:t xml:space="preserve"> does not require calling client services to override a block on duplicate testing. The study showed that the smart alert CDST approach </w:t>
      </w:r>
      <w:r w:rsidR="002579B9">
        <w:rPr>
          <w:rFonts w:ascii="Times New Roman" w:hAnsi="Times New Roman" w:cs="Times New Roman"/>
        </w:rPr>
        <w:t xml:space="preserve">was much less effective. Over the </w:t>
      </w:r>
      <w:r w:rsidRPr="00044C30">
        <w:rPr>
          <w:rFonts w:ascii="Times New Roman" w:hAnsi="Times New Roman" w:cs="Times New Roman"/>
        </w:rPr>
        <w:t xml:space="preserve">course of a year it was only effective 43% of the time, blocking only 5,669 of the 12,990 duplicate tests, and saving the seven hospitals a combined $94,225, less than $13,500 in savings to each hospital. </w:t>
      </w:r>
    </w:p>
    <w:p w14:paraId="4E923302" w14:textId="77777777" w:rsidR="00083D5B" w:rsidRPr="00044C30" w:rsidRDefault="00083D5B" w:rsidP="00083D5B">
      <w:pPr>
        <w:rPr>
          <w:rFonts w:ascii="Times New Roman" w:hAnsi="Times New Roman" w:cs="Times New Roman"/>
        </w:rPr>
      </w:pPr>
    </w:p>
    <w:p w14:paraId="59BBAF5D"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Additionally, it has been found that due to incompatible systems, the electronic records received may often be incomplete, and can also lead to duplicate testing.</w:t>
      </w:r>
      <w:r w:rsidRPr="00044C30">
        <w:rPr>
          <w:rStyle w:val="FootnoteReference"/>
          <w:rFonts w:ascii="Times New Roman" w:hAnsi="Times New Roman" w:cs="Times New Roman"/>
        </w:rPr>
        <w:footnoteReference w:id="16"/>
      </w:r>
      <w:r w:rsidRPr="00044C30">
        <w:rPr>
          <w:rFonts w:ascii="Times New Roman" w:hAnsi="Times New Roman" w:cs="Times New Roman"/>
        </w:rPr>
        <w:t xml:space="preserve"> It is suggested that interoperable systems with integrated decision support will be able to prevent incomplete transfers and reduce or eliminate duplicate testing. An interoperable system should have the ability to interpret and convey shared data, which contains prior rest results, notification, alerts, decision support, and imaging studies.</w:t>
      </w:r>
    </w:p>
    <w:p w14:paraId="1043623F" w14:textId="77777777" w:rsidR="00FE52BB" w:rsidRPr="00044C30" w:rsidRDefault="00FE52BB" w:rsidP="00083D5B">
      <w:pPr>
        <w:rPr>
          <w:rFonts w:ascii="Times New Roman" w:hAnsi="Times New Roman" w:cs="Times New Roman"/>
        </w:rPr>
      </w:pPr>
    </w:p>
    <w:p w14:paraId="041CCE1A" w14:textId="5BE8BD03" w:rsidR="00FE52BB" w:rsidRPr="00044C30" w:rsidRDefault="00FE52BB" w:rsidP="00083D5B">
      <w:pPr>
        <w:rPr>
          <w:rFonts w:ascii="Times New Roman" w:hAnsi="Times New Roman" w:cs="Times New Roman"/>
        </w:rPr>
      </w:pPr>
      <w:r w:rsidRPr="00044C30">
        <w:rPr>
          <w:rFonts w:ascii="Times New Roman" w:hAnsi="Times New Roman" w:cs="Times New Roman"/>
        </w:rPr>
        <w:t>In regards to interoperability, Minnesota hospitals’ interoperability systems</w:t>
      </w:r>
      <w:r w:rsidR="00EC5183" w:rsidRPr="00044C30">
        <w:rPr>
          <w:rFonts w:ascii="Times New Roman" w:hAnsi="Times New Roman" w:cs="Times New Roman"/>
        </w:rPr>
        <w:t xml:space="preserve"> consistently rank</w:t>
      </w:r>
      <w:r w:rsidRPr="00044C30">
        <w:rPr>
          <w:rFonts w:ascii="Times New Roman" w:hAnsi="Times New Roman" w:cs="Times New Roman"/>
        </w:rPr>
        <w:t xml:space="preserve"> above</w:t>
      </w:r>
      <w:r w:rsidR="00EC5183" w:rsidRPr="00044C30">
        <w:rPr>
          <w:rFonts w:ascii="Times New Roman" w:hAnsi="Times New Roman" w:cs="Times New Roman"/>
        </w:rPr>
        <w:t xml:space="preserve"> average; </w:t>
      </w:r>
      <w:r w:rsidR="00A965C6">
        <w:rPr>
          <w:rFonts w:ascii="Times New Roman" w:hAnsi="Times New Roman" w:cs="Times New Roman"/>
        </w:rPr>
        <w:t>with the exception of</w:t>
      </w:r>
      <w:r w:rsidR="00EC5183" w:rsidRPr="00044C30">
        <w:rPr>
          <w:rFonts w:ascii="Times New Roman" w:hAnsi="Times New Roman" w:cs="Times New Roman"/>
        </w:rPr>
        <w:t xml:space="preserve"> one circumstance</w:t>
      </w:r>
      <w:r w:rsidRPr="00044C30">
        <w:rPr>
          <w:rFonts w:ascii="Times New Roman" w:hAnsi="Times New Roman" w:cs="Times New Roman"/>
        </w:rPr>
        <w:t>, in which Minnesota ranks just one percent below the national average. For example, 63% of hospitals in Minnesota can electronically</w:t>
      </w:r>
      <w:r w:rsidRPr="00044C30">
        <w:rPr>
          <w:rFonts w:ascii="Times New Roman" w:hAnsi="Times New Roman" w:cs="Times New Roman"/>
          <w:b/>
        </w:rPr>
        <w:t xml:space="preserve"> </w:t>
      </w:r>
      <w:r w:rsidRPr="00044C30">
        <w:rPr>
          <w:rFonts w:ascii="Times New Roman" w:hAnsi="Times New Roman" w:cs="Times New Roman"/>
        </w:rPr>
        <w:t>find patient health information from outside providers, which is 12% above the national average. Additionally, 58% of Minnesota’s hospitals electronically integrate any patient information from outside providers. The nationa</w:t>
      </w:r>
      <w:r w:rsidR="007D2D0A">
        <w:rPr>
          <w:rFonts w:ascii="Times New Roman" w:hAnsi="Times New Roman" w:cs="Times New Roman"/>
        </w:rPr>
        <w:t>l average is 50% of hospitals. As mentioned, t</w:t>
      </w:r>
      <w:r w:rsidRPr="00044C30">
        <w:rPr>
          <w:rFonts w:ascii="Times New Roman" w:hAnsi="Times New Roman" w:cs="Times New Roman"/>
        </w:rPr>
        <w:t>he only circumstance in which Mi</w:t>
      </w:r>
      <w:r w:rsidR="00A965C6">
        <w:rPr>
          <w:rFonts w:ascii="Times New Roman" w:hAnsi="Times New Roman" w:cs="Times New Roman"/>
        </w:rPr>
        <w:t xml:space="preserve">nnesota falls below average is </w:t>
      </w:r>
      <w:r w:rsidR="007D2D0A">
        <w:rPr>
          <w:rFonts w:ascii="Times New Roman" w:hAnsi="Times New Roman" w:cs="Times New Roman"/>
        </w:rPr>
        <w:t>among hospitals that can</w:t>
      </w:r>
      <w:r w:rsidRPr="00044C30">
        <w:rPr>
          <w:rFonts w:ascii="Times New Roman" w:hAnsi="Times New Roman" w:cs="Times New Roman"/>
        </w:rPr>
        <w:t xml:space="preserve"> electronically send patient summary of care records to outside providers</w:t>
      </w:r>
      <w:r w:rsidR="00474758" w:rsidRPr="00044C30">
        <w:rPr>
          <w:rFonts w:ascii="Times New Roman" w:hAnsi="Times New Roman" w:cs="Times New Roman"/>
        </w:rPr>
        <w:t xml:space="preserve">. On average 85% of hospitals nationwide can </w:t>
      </w:r>
      <w:r w:rsidR="007D2D0A">
        <w:rPr>
          <w:rFonts w:ascii="Times New Roman" w:hAnsi="Times New Roman" w:cs="Times New Roman"/>
        </w:rPr>
        <w:t xml:space="preserve">electronically </w:t>
      </w:r>
      <w:r w:rsidR="00474758" w:rsidRPr="00044C30">
        <w:rPr>
          <w:rFonts w:ascii="Times New Roman" w:hAnsi="Times New Roman" w:cs="Times New Roman"/>
        </w:rPr>
        <w:t>send patient summary of care records to outside providers. In Minnesota</w:t>
      </w:r>
      <w:r w:rsidR="00EC5183" w:rsidRPr="00044C30">
        <w:rPr>
          <w:rFonts w:ascii="Times New Roman" w:hAnsi="Times New Roman" w:cs="Times New Roman"/>
        </w:rPr>
        <w:t>,</w:t>
      </w:r>
      <w:r w:rsidR="00474758" w:rsidRPr="00044C30">
        <w:rPr>
          <w:rFonts w:ascii="Times New Roman" w:hAnsi="Times New Roman" w:cs="Times New Roman"/>
        </w:rPr>
        <w:t xml:space="preserve"> 84% of hospital systems can </w:t>
      </w:r>
      <w:r w:rsidR="007D2D0A">
        <w:rPr>
          <w:rFonts w:ascii="Times New Roman" w:hAnsi="Times New Roman" w:cs="Times New Roman"/>
        </w:rPr>
        <w:t xml:space="preserve">electronically </w:t>
      </w:r>
      <w:r w:rsidR="00474758" w:rsidRPr="00044C30">
        <w:rPr>
          <w:rFonts w:ascii="Times New Roman" w:hAnsi="Times New Roman" w:cs="Times New Roman"/>
        </w:rPr>
        <w:t>send patient summary of care records to outside providers</w:t>
      </w:r>
      <w:r w:rsidR="007D2D0A">
        <w:rPr>
          <w:rFonts w:ascii="Times New Roman" w:hAnsi="Times New Roman" w:cs="Times New Roman"/>
        </w:rPr>
        <w:t xml:space="preserve">. </w:t>
      </w:r>
    </w:p>
    <w:p w14:paraId="601B6C4C" w14:textId="77777777" w:rsidR="00083D5B" w:rsidRPr="00044C30" w:rsidRDefault="00083D5B" w:rsidP="00083D5B">
      <w:pPr>
        <w:rPr>
          <w:rFonts w:ascii="Times New Roman" w:hAnsi="Times New Roman" w:cs="Times New Roman"/>
        </w:rPr>
      </w:pPr>
    </w:p>
    <w:p w14:paraId="171689EF" w14:textId="1ECEA9A9" w:rsidR="000E6443" w:rsidRPr="00044C30" w:rsidRDefault="00083D5B" w:rsidP="00083D5B">
      <w:pPr>
        <w:rPr>
          <w:rFonts w:ascii="Times New Roman" w:hAnsi="Times New Roman" w:cs="Times New Roman"/>
        </w:rPr>
      </w:pPr>
      <w:r w:rsidRPr="00044C30">
        <w:rPr>
          <w:rFonts w:ascii="Times New Roman" w:hAnsi="Times New Roman" w:cs="Times New Roman"/>
        </w:rPr>
        <w:t>Based on th</w:t>
      </w:r>
      <w:r w:rsidR="000E6443" w:rsidRPr="00044C30">
        <w:rPr>
          <w:rFonts w:ascii="Times New Roman" w:hAnsi="Times New Roman" w:cs="Times New Roman"/>
        </w:rPr>
        <w:t xml:space="preserve">ese studies, </w:t>
      </w:r>
      <w:r w:rsidRPr="00044C30">
        <w:rPr>
          <w:rFonts w:ascii="Times New Roman" w:hAnsi="Times New Roman" w:cs="Times New Roman"/>
        </w:rPr>
        <w:t xml:space="preserve">HIE systems without a hard block CPOE/CDST, PACS, or interoperability, </w:t>
      </w:r>
      <w:r w:rsidR="000E6443" w:rsidRPr="00044C30">
        <w:rPr>
          <w:rFonts w:ascii="Times New Roman" w:hAnsi="Times New Roman" w:cs="Times New Roman"/>
        </w:rPr>
        <w:t>are likely not as effective in reducing</w:t>
      </w:r>
      <w:r w:rsidRPr="00044C30">
        <w:rPr>
          <w:rFonts w:ascii="Times New Roman" w:hAnsi="Times New Roman" w:cs="Times New Roman"/>
        </w:rPr>
        <w:t xml:space="preserve"> duplicate testing</w:t>
      </w:r>
      <w:r w:rsidR="000E6443" w:rsidRPr="00044C30">
        <w:rPr>
          <w:rFonts w:ascii="Times New Roman" w:hAnsi="Times New Roman" w:cs="Times New Roman"/>
        </w:rPr>
        <w:t xml:space="preserve"> as HIE systems using hard </w:t>
      </w:r>
      <w:r w:rsidR="000E6443" w:rsidRPr="00044C30">
        <w:rPr>
          <w:rFonts w:ascii="Times New Roman" w:hAnsi="Times New Roman" w:cs="Times New Roman"/>
        </w:rPr>
        <w:lastRenderedPageBreak/>
        <w:t>blocks</w:t>
      </w:r>
      <w:r w:rsidR="00BB2CCB" w:rsidRPr="00044C30">
        <w:rPr>
          <w:rFonts w:ascii="Times New Roman" w:hAnsi="Times New Roman" w:cs="Times New Roman"/>
        </w:rPr>
        <w:t xml:space="preserve"> or interoperable systems</w:t>
      </w:r>
      <w:r w:rsidR="000E6443" w:rsidRPr="00044C30">
        <w:rPr>
          <w:rFonts w:ascii="Times New Roman" w:hAnsi="Times New Roman" w:cs="Times New Roman"/>
        </w:rPr>
        <w:t xml:space="preserve">. </w:t>
      </w:r>
      <w:r w:rsidR="009743A8">
        <w:rPr>
          <w:rFonts w:ascii="Times New Roman" w:hAnsi="Times New Roman" w:cs="Times New Roman"/>
        </w:rPr>
        <w:t>It is</w:t>
      </w:r>
      <w:r w:rsidR="00BB2CCB" w:rsidRPr="00044C30">
        <w:rPr>
          <w:rFonts w:ascii="Times New Roman" w:hAnsi="Times New Roman" w:cs="Times New Roman"/>
        </w:rPr>
        <w:t xml:space="preserve"> </w:t>
      </w:r>
      <w:r w:rsidR="000E6443" w:rsidRPr="00044C30">
        <w:rPr>
          <w:rFonts w:ascii="Times New Roman" w:hAnsi="Times New Roman" w:cs="Times New Roman"/>
        </w:rPr>
        <w:t>suggested that interoperable systems with decision support will prevent incomplete record transfers</w:t>
      </w:r>
      <w:r w:rsidR="00BB2CCB" w:rsidRPr="00044C30">
        <w:rPr>
          <w:rFonts w:ascii="Times New Roman" w:hAnsi="Times New Roman" w:cs="Times New Roman"/>
        </w:rPr>
        <w:t xml:space="preserve"> that result in lab orders or results not being transferred</w:t>
      </w:r>
      <w:r w:rsidR="000E6443" w:rsidRPr="00044C30">
        <w:rPr>
          <w:rFonts w:ascii="Times New Roman" w:hAnsi="Times New Roman" w:cs="Times New Roman"/>
        </w:rPr>
        <w:t xml:space="preserve">. </w:t>
      </w:r>
    </w:p>
    <w:p w14:paraId="56B665FF" w14:textId="77777777" w:rsidR="000E6443" w:rsidRPr="00044C30" w:rsidRDefault="000E6443" w:rsidP="00083D5B">
      <w:pPr>
        <w:rPr>
          <w:rFonts w:ascii="Times New Roman" w:hAnsi="Times New Roman" w:cs="Times New Roman"/>
        </w:rPr>
      </w:pPr>
    </w:p>
    <w:p w14:paraId="48142812" w14:textId="563E4475" w:rsidR="004D7B43" w:rsidRDefault="000E6443" w:rsidP="00083D5B">
      <w:pPr>
        <w:rPr>
          <w:rFonts w:ascii="Times New Roman" w:hAnsi="Times New Roman" w:cs="Times New Roman"/>
        </w:rPr>
      </w:pPr>
      <w:r w:rsidRPr="00044C30">
        <w:rPr>
          <w:rFonts w:ascii="Times New Roman" w:hAnsi="Times New Roman" w:cs="Times New Roman"/>
        </w:rPr>
        <w:t>In conclusion,</w:t>
      </w:r>
      <w:r w:rsidR="00ED1EC3">
        <w:rPr>
          <w:rFonts w:ascii="Times New Roman" w:hAnsi="Times New Roman" w:cs="Times New Roman"/>
        </w:rPr>
        <w:t xml:space="preserve"> the theory that</w:t>
      </w:r>
      <w:r w:rsidRPr="00044C30">
        <w:rPr>
          <w:rFonts w:ascii="Times New Roman" w:hAnsi="Times New Roman" w:cs="Times New Roman"/>
        </w:rPr>
        <w:t xml:space="preserve"> stringent state laws, </w:t>
      </w:r>
      <w:r w:rsidR="00ED1EC3">
        <w:rPr>
          <w:rFonts w:ascii="Times New Roman" w:hAnsi="Times New Roman" w:cs="Times New Roman"/>
        </w:rPr>
        <w:t xml:space="preserve">like </w:t>
      </w:r>
      <w:r w:rsidRPr="00044C30">
        <w:rPr>
          <w:rFonts w:ascii="Times New Roman" w:hAnsi="Times New Roman" w:cs="Times New Roman"/>
        </w:rPr>
        <w:t>MHRA,</w:t>
      </w:r>
      <w:r w:rsidR="00ED1EC3">
        <w:rPr>
          <w:rFonts w:ascii="Times New Roman" w:hAnsi="Times New Roman" w:cs="Times New Roman"/>
        </w:rPr>
        <w:t xml:space="preserve"> are</w:t>
      </w:r>
      <w:r w:rsidR="004D7B43">
        <w:rPr>
          <w:rFonts w:ascii="Times New Roman" w:hAnsi="Times New Roman" w:cs="Times New Roman"/>
        </w:rPr>
        <w:t xml:space="preserve"> </w:t>
      </w:r>
      <w:r w:rsidR="00ED1EC3">
        <w:rPr>
          <w:rFonts w:ascii="Times New Roman" w:hAnsi="Times New Roman" w:cs="Times New Roman"/>
        </w:rPr>
        <w:t xml:space="preserve">the predominant </w:t>
      </w:r>
      <w:r w:rsidRPr="00044C30">
        <w:rPr>
          <w:rFonts w:ascii="Times New Roman" w:hAnsi="Times New Roman" w:cs="Times New Roman"/>
        </w:rPr>
        <w:t xml:space="preserve">factor </w:t>
      </w:r>
      <w:r w:rsidR="004D7B43">
        <w:rPr>
          <w:rFonts w:ascii="Times New Roman" w:hAnsi="Times New Roman" w:cs="Times New Roman"/>
        </w:rPr>
        <w:t>contributing to duplicate testing</w:t>
      </w:r>
      <w:r w:rsidR="00ED1EC3">
        <w:rPr>
          <w:rFonts w:ascii="Times New Roman" w:hAnsi="Times New Roman" w:cs="Times New Roman"/>
        </w:rPr>
        <w:t xml:space="preserve"> may not be accurate</w:t>
      </w:r>
      <w:r w:rsidR="004D7B43">
        <w:rPr>
          <w:rFonts w:ascii="Times New Roman" w:hAnsi="Times New Roman" w:cs="Times New Roman"/>
        </w:rPr>
        <w:t xml:space="preserve">. </w:t>
      </w:r>
      <w:r w:rsidR="00ED1EC3" w:rsidRPr="00ED1EC3">
        <w:rPr>
          <w:rFonts w:ascii="Times New Roman" w:hAnsi="Times New Roman" w:cs="Times New Roman"/>
        </w:rPr>
        <w:t xml:space="preserve">Theoretically, given that duplicative testing is a national problem, restrictive state laws, like MHRA, would likely not be a significant contributor to duplicate testing in other states. As a result, it is possible that a predominant factor may be HIE systems, or a state’s lack thereof. </w:t>
      </w:r>
      <w:r w:rsidR="00ED1EC3">
        <w:rPr>
          <w:rFonts w:ascii="Times New Roman" w:hAnsi="Times New Roman" w:cs="Times New Roman"/>
        </w:rPr>
        <w:t>Without knowing the predominant factors contributing to duplicate testing</w:t>
      </w:r>
      <w:r w:rsidR="004D7B43" w:rsidRPr="004D7B43">
        <w:rPr>
          <w:rFonts w:ascii="Times New Roman" w:hAnsi="Times New Roman" w:cs="Times New Roman"/>
        </w:rPr>
        <w:t>, it may not be possible to ascertain the</w:t>
      </w:r>
      <w:r w:rsidR="00ED1EC3">
        <w:rPr>
          <w:rFonts w:ascii="Times New Roman" w:hAnsi="Times New Roman" w:cs="Times New Roman"/>
        </w:rPr>
        <w:t xml:space="preserve"> </w:t>
      </w:r>
      <w:r w:rsidR="004D7B43" w:rsidRPr="004D7B43">
        <w:rPr>
          <w:rFonts w:ascii="Times New Roman" w:hAnsi="Times New Roman" w:cs="Times New Roman"/>
        </w:rPr>
        <w:t xml:space="preserve">impact </w:t>
      </w:r>
      <w:r w:rsidR="000715A6">
        <w:rPr>
          <w:rFonts w:ascii="Times New Roman" w:hAnsi="Times New Roman" w:cs="Times New Roman"/>
        </w:rPr>
        <w:t xml:space="preserve">that </w:t>
      </w:r>
      <w:r w:rsidR="004D7B43" w:rsidRPr="004D7B43">
        <w:rPr>
          <w:rFonts w:ascii="Times New Roman" w:hAnsi="Times New Roman" w:cs="Times New Roman"/>
        </w:rPr>
        <w:t xml:space="preserve">MHRA </w:t>
      </w:r>
      <w:r w:rsidR="000715A6">
        <w:rPr>
          <w:rFonts w:ascii="Times New Roman" w:hAnsi="Times New Roman" w:cs="Times New Roman"/>
        </w:rPr>
        <w:t xml:space="preserve">alone </w:t>
      </w:r>
      <w:r w:rsidR="004D7B43" w:rsidRPr="004D7B43">
        <w:rPr>
          <w:rFonts w:ascii="Times New Roman" w:hAnsi="Times New Roman" w:cs="Times New Roman"/>
        </w:rPr>
        <w:t>has on costs associated with duplicate testing.</w:t>
      </w:r>
      <w:r w:rsidR="004D7B43">
        <w:rPr>
          <w:rFonts w:ascii="Times New Roman" w:hAnsi="Times New Roman" w:cs="Times New Roman"/>
        </w:rPr>
        <w:t xml:space="preserve"> </w:t>
      </w:r>
    </w:p>
    <w:p w14:paraId="6255E4E8" w14:textId="77777777" w:rsidR="004D7B43" w:rsidRPr="00044C30" w:rsidRDefault="004D7B43" w:rsidP="00083D5B">
      <w:pPr>
        <w:rPr>
          <w:rFonts w:ascii="Times New Roman" w:hAnsi="Times New Roman" w:cs="Times New Roman"/>
          <w:b/>
        </w:rPr>
      </w:pPr>
    </w:p>
    <w:p w14:paraId="356657E3" w14:textId="77777777" w:rsidR="00083D5B" w:rsidRPr="00044C30" w:rsidRDefault="00022C3B" w:rsidP="00083D5B">
      <w:pPr>
        <w:rPr>
          <w:rFonts w:ascii="Times New Roman" w:hAnsi="Times New Roman" w:cs="Times New Roman"/>
          <w:b/>
        </w:rPr>
      </w:pPr>
      <w:r w:rsidRPr="00044C30">
        <w:rPr>
          <w:rFonts w:ascii="Times New Roman" w:hAnsi="Times New Roman" w:cs="Times New Roman"/>
          <w:b/>
        </w:rPr>
        <w:t>Question 3:</w:t>
      </w:r>
    </w:p>
    <w:p w14:paraId="32467675" w14:textId="77777777" w:rsidR="00022C3B" w:rsidRPr="00044C30" w:rsidRDefault="00022C3B" w:rsidP="00083D5B">
      <w:pPr>
        <w:rPr>
          <w:rFonts w:ascii="Times New Roman" w:hAnsi="Times New Roman" w:cs="Times New Roman"/>
        </w:rPr>
      </w:pPr>
    </w:p>
    <w:p w14:paraId="543B3BEC" w14:textId="77777777" w:rsidR="00083D5B" w:rsidRPr="00044C30" w:rsidRDefault="00083D5B" w:rsidP="00083D5B">
      <w:pPr>
        <w:rPr>
          <w:rFonts w:ascii="Times New Roman" w:hAnsi="Times New Roman" w:cs="Times New Roman"/>
          <w:b/>
          <w:color w:val="FF0000"/>
        </w:rPr>
      </w:pPr>
      <w:r w:rsidRPr="00044C30">
        <w:rPr>
          <w:rFonts w:ascii="Times New Roman" w:hAnsi="Times New Roman" w:cs="Times New Roman"/>
          <w:b/>
        </w:rPr>
        <w:t>According to the federal government, how many entities could have access to a patient’s medical record information without their consent?</w:t>
      </w:r>
      <w:r w:rsidRPr="00044C30">
        <w:rPr>
          <w:rFonts w:ascii="Times New Roman" w:hAnsi="Times New Roman" w:cs="Times New Roman"/>
        </w:rPr>
        <w:t xml:space="preserve"> </w:t>
      </w:r>
    </w:p>
    <w:p w14:paraId="7F76A944" w14:textId="77777777" w:rsidR="00083D5B" w:rsidRPr="00044C30" w:rsidRDefault="00083D5B" w:rsidP="00083D5B">
      <w:pPr>
        <w:rPr>
          <w:rFonts w:ascii="Times New Roman" w:hAnsi="Times New Roman" w:cs="Times New Roman"/>
        </w:rPr>
      </w:pPr>
    </w:p>
    <w:p w14:paraId="0648A26C" w14:textId="42F739B0"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While it is not </w:t>
      </w:r>
      <w:r w:rsidR="00726ECD">
        <w:rPr>
          <w:rFonts w:ascii="Times New Roman" w:hAnsi="Times New Roman" w:cs="Times New Roman"/>
        </w:rPr>
        <w:t>known</w:t>
      </w:r>
      <w:r w:rsidRPr="00044C30">
        <w:rPr>
          <w:rFonts w:ascii="Times New Roman" w:hAnsi="Times New Roman" w:cs="Times New Roman"/>
        </w:rPr>
        <w:t xml:space="preserve"> exactly how many entities may have access to a patient’s</w:t>
      </w:r>
      <w:r w:rsidR="00022C3B" w:rsidRPr="00044C30">
        <w:rPr>
          <w:rFonts w:ascii="Times New Roman" w:hAnsi="Times New Roman" w:cs="Times New Roman"/>
        </w:rPr>
        <w:t xml:space="preserve"> PHI</w:t>
      </w:r>
      <w:r w:rsidRPr="00044C30">
        <w:rPr>
          <w:rFonts w:ascii="Times New Roman" w:hAnsi="Times New Roman" w:cs="Times New Roman"/>
        </w:rPr>
        <w:t>, it is possible to know the types of entities that could potentially have access to a patient’s PHI. In general, covered entities and their business associates</w:t>
      </w:r>
      <w:r w:rsidR="00022C3B" w:rsidRPr="00044C30">
        <w:rPr>
          <w:rFonts w:ascii="Times New Roman" w:hAnsi="Times New Roman" w:cs="Times New Roman"/>
        </w:rPr>
        <w:t xml:space="preserve"> are permitted to receive PHI. </w:t>
      </w:r>
      <w:r w:rsidR="001C4DFF">
        <w:rPr>
          <w:rFonts w:ascii="Times New Roman" w:hAnsi="Times New Roman" w:cs="Times New Roman"/>
        </w:rPr>
        <w:t>In 2010, HHS issued a HIPAA regulation that listed more than 700,000 covered entities and 1.5 million business associates.</w:t>
      </w:r>
      <w:r w:rsidR="001C4DFF">
        <w:rPr>
          <w:rStyle w:val="FootnoteReference"/>
          <w:rFonts w:ascii="Times New Roman" w:hAnsi="Times New Roman" w:cs="Times New Roman"/>
        </w:rPr>
        <w:footnoteReference w:id="17"/>
      </w:r>
      <w:r w:rsidR="001C4DFF">
        <w:rPr>
          <w:rFonts w:ascii="Times New Roman" w:hAnsi="Times New Roman" w:cs="Times New Roman"/>
        </w:rPr>
        <w:t xml:space="preserve"> Covered</w:t>
      </w:r>
      <w:r w:rsidRPr="00044C30">
        <w:rPr>
          <w:rFonts w:ascii="Times New Roman" w:hAnsi="Times New Roman" w:cs="Times New Roman"/>
        </w:rPr>
        <w:t xml:space="preserve"> entities include health plans, health care providers, and health care clearinghouses. HHS has developed materials to determine whether an entity is a covered entity under HIPPA. Those materials can be found using this link: </w:t>
      </w:r>
    </w:p>
    <w:p w14:paraId="2B8BC182" w14:textId="77777777" w:rsidR="00083D5B" w:rsidRPr="00044C30" w:rsidRDefault="007F43F6" w:rsidP="00083D5B">
      <w:pPr>
        <w:pStyle w:val="ListParagraph"/>
        <w:numPr>
          <w:ilvl w:val="0"/>
          <w:numId w:val="3"/>
        </w:numPr>
        <w:rPr>
          <w:rFonts w:ascii="Times New Roman" w:hAnsi="Times New Roman" w:cs="Times New Roman"/>
        </w:rPr>
      </w:pPr>
      <w:hyperlink r:id="rId11" w:history="1">
        <w:r w:rsidR="00083D5B" w:rsidRPr="00044C30">
          <w:rPr>
            <w:rStyle w:val="Hyperlink"/>
            <w:rFonts w:ascii="Times New Roman" w:hAnsi="Times New Roman" w:cs="Times New Roman"/>
          </w:rPr>
          <w:t>https://www.cms.gov/Regulations-and-Guidance/Administrative-Simplification/HIPAA-ACA/Downloads/CoveredEntitiesChart20160617.pdf</w:t>
        </w:r>
      </w:hyperlink>
      <w:r w:rsidR="00083D5B" w:rsidRPr="00044C30">
        <w:rPr>
          <w:rFonts w:ascii="Times New Roman" w:hAnsi="Times New Roman" w:cs="Times New Roman"/>
        </w:rPr>
        <w:t xml:space="preserve"> </w:t>
      </w:r>
    </w:p>
    <w:p w14:paraId="2B8B5B84"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A covered entity’s business associates </w:t>
      </w:r>
      <w:r w:rsidR="0071587E" w:rsidRPr="00044C30">
        <w:rPr>
          <w:rFonts w:ascii="Times New Roman" w:hAnsi="Times New Roman" w:cs="Times New Roman"/>
        </w:rPr>
        <w:t>will also</w:t>
      </w:r>
      <w:r w:rsidRPr="00044C30">
        <w:rPr>
          <w:rFonts w:ascii="Times New Roman" w:hAnsi="Times New Roman" w:cs="Times New Roman"/>
        </w:rPr>
        <w:t xml:space="preserve"> have access to a patient’s PHI. A business associate is a “person or organization, other than a member of a covered entity's workforce, that performs certain functions or activities on behalf of, or provides certain services to, a covered entity that involve the use or disclosure of individually identifiable health</w:t>
      </w:r>
      <w:r w:rsidR="0071587E" w:rsidRPr="00044C30">
        <w:rPr>
          <w:rFonts w:ascii="Times New Roman" w:hAnsi="Times New Roman" w:cs="Times New Roman"/>
        </w:rPr>
        <w:t xml:space="preserve"> i</w:t>
      </w:r>
      <w:r w:rsidRPr="00044C30">
        <w:rPr>
          <w:rFonts w:ascii="Times New Roman" w:hAnsi="Times New Roman" w:cs="Times New Roman"/>
        </w:rPr>
        <w:t>nformation”</w:t>
      </w:r>
      <w:r w:rsidRPr="00044C30">
        <w:rPr>
          <w:rStyle w:val="FootnoteReference"/>
          <w:rFonts w:ascii="Times New Roman" w:hAnsi="Times New Roman" w:cs="Times New Roman"/>
        </w:rPr>
        <w:footnoteReference w:id="18"/>
      </w:r>
      <w:r w:rsidRPr="00044C30">
        <w:rPr>
          <w:rFonts w:ascii="Times New Roman" w:hAnsi="Times New Roman" w:cs="Times New Roman"/>
        </w:rPr>
        <w:t xml:space="preserve"> </w:t>
      </w:r>
      <w:r w:rsidR="0071587E" w:rsidRPr="00044C30">
        <w:rPr>
          <w:rFonts w:ascii="Times New Roman" w:hAnsi="Times New Roman" w:cs="Times New Roman"/>
        </w:rPr>
        <w:t xml:space="preserve">Business associates can include any entity that provides a covered entity with </w:t>
      </w:r>
      <w:r w:rsidRPr="00044C30">
        <w:rPr>
          <w:rFonts w:ascii="Times New Roman" w:hAnsi="Times New Roman" w:cs="Times New Roman"/>
        </w:rPr>
        <w:t>any of the fol</w:t>
      </w:r>
      <w:r w:rsidRPr="00044C30">
        <w:rPr>
          <w:rFonts w:ascii="Times New Roman" w:hAnsi="Times New Roman" w:cs="Times New Roman"/>
        </w:rPr>
        <w:lastRenderedPageBreak/>
        <w:t xml:space="preserve">lowing services: legal, actuarial, accounting, consulting, data aggregation, management, administrative, accreditation, or financial services. </w:t>
      </w:r>
      <w:r w:rsidR="0071587E" w:rsidRPr="00044C30">
        <w:rPr>
          <w:rFonts w:ascii="Times New Roman" w:hAnsi="Times New Roman" w:cs="Times New Roman"/>
        </w:rPr>
        <w:t>This includes covered entities that are business associates of another covered entity.</w:t>
      </w:r>
    </w:p>
    <w:p w14:paraId="1C428EC7" w14:textId="77777777" w:rsidR="00083D5B" w:rsidRPr="00044C30" w:rsidRDefault="00083D5B" w:rsidP="00083D5B">
      <w:pPr>
        <w:rPr>
          <w:rFonts w:ascii="Times New Roman" w:hAnsi="Times New Roman" w:cs="Times New Roman"/>
        </w:rPr>
      </w:pPr>
    </w:p>
    <w:p w14:paraId="406C2822"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A covered entity is permitted to use and disclose PHI in the following six circumstances: </w:t>
      </w:r>
    </w:p>
    <w:p w14:paraId="104C70E7"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To the individual who is subject of the information; </w:t>
      </w:r>
    </w:p>
    <w:p w14:paraId="5F940B82"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For treatment, payment, or health care operations; </w:t>
      </w:r>
    </w:p>
    <w:p w14:paraId="4D8A5FE7"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After asking the individual’s informal permission, allowing the opportunity to agree or object, and receiving permission; </w:t>
      </w:r>
    </w:p>
    <w:p w14:paraId="508E0D6A"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Requesting informal permission to include patient’s contact information in the health care facility directory, which can be disclosed to anyone asking for the individual by name</w:t>
      </w:r>
    </w:p>
    <w:p w14:paraId="74A575F2"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Directory information would include name, general condition, religious affiliation, and location in the facility. </w:t>
      </w:r>
    </w:p>
    <w:p w14:paraId="0AAAA7F9"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Requesting informal permission to disclose PHI to the individual’s family, relatives, friends, or other persons whom the individual identifies. </w:t>
      </w:r>
    </w:p>
    <w:p w14:paraId="4FFAB407"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Allows for others to fill prescriptions; the facility to notify those regarding the individuals care, general condition, or death; and for notifying purposes to public or private entities to assist in disaster relief efforts. </w:t>
      </w:r>
    </w:p>
    <w:p w14:paraId="5FD94FB3"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Incident to an otherwise permitted use and disclosure; </w:t>
      </w:r>
    </w:p>
    <w:p w14:paraId="2ED37A18"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Public interest and benefit activities; and</w:t>
      </w:r>
    </w:p>
    <w:p w14:paraId="01FFAC0F"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Disclosures are permitted, without an individual’s authorization or permission, under 12 circumstances considered “national priority purposes”:</w:t>
      </w:r>
    </w:p>
    <w:p w14:paraId="48787DE9"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Required by Law—covered entities may disclose PHI without authorization when required by law. </w:t>
      </w:r>
    </w:p>
    <w:p w14:paraId="518331E8"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Public Health Activities—covered entities may disclose PHI to: (1) public health authorities authorized by law to collect such information for preventing or controlling disease, injury, or disability; and to public health or other government authorities authorized to receive reports of child abuse and neglect; (2) entities subject to FDA regulation regarding FDA regulated products or activities for purposes such as adverse event reporting, tracking of products, product recalls, and post-marketing surveillance; (3) individuals who may have contracted or been exposed to a communicable disease when notification is authorized by law; and (4) employers, regarding employees, when requested by employers, for information concerning a work-related illness or </w:t>
      </w:r>
      <w:r w:rsidRPr="00044C30">
        <w:rPr>
          <w:rFonts w:ascii="Times New Roman" w:hAnsi="Times New Roman" w:cs="Times New Roman"/>
        </w:rPr>
        <w:lastRenderedPageBreak/>
        <w:t>injury or workplace related medical surveillance, when such information is needed by the employer to comply with the OSHA, the Mine Safety and Health Administration, or similar state law</w:t>
      </w:r>
    </w:p>
    <w:p w14:paraId="311E6F18"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Victims on Abuse, Neglect, or Domestic Violence—covered entities may disclose PHI to appropriate government authorities regarding victims of abuse, neglect, or domestic violence</w:t>
      </w:r>
    </w:p>
    <w:p w14:paraId="7798AF14"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Health Oversight Activities—covered entities may disclose PHI to health oversight agencies for purposes of legally authorized health oversight activities, such as audits and investigations</w:t>
      </w:r>
    </w:p>
    <w:p w14:paraId="3781776B"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Judicial and Administrative Proceedings—covered entities may disclose PHI in a judicial or administrative proceeding if through a court order or by request of an administrative tribunal. </w:t>
      </w:r>
    </w:p>
    <w:p w14:paraId="7CCF2619"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Law Enforcement Purposes—covered entities may disclose PHI to law enforcement as: (1) required by law under court orders, warrants, subpoenas, and administrative requests; (2) to identify or locate a suspect, fugitive, material witness, or missing person; (3) to a law enforcement official’s request for information about a victim or suspected victim; (4) to alert law enforcement of a person’s death if criminal activity is suspected; (5) when PHI is believed to be evidence of a crime that occurred on a covered entity’s premise; and (6) when necessary to inform law enforcement about commission and nature of a crime, the location of a crime or crime victims, and the perpetrator of a crime. </w:t>
      </w:r>
    </w:p>
    <w:p w14:paraId="31F5924E"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Decedents—covered entities may disclose PHI to funeral directors, coroners, or medical examiners, for the purpose of identify deceased, determining cause of death, or performing other functions authorized by law. </w:t>
      </w:r>
    </w:p>
    <w:p w14:paraId="34FA92AD"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Cadaveric Organ, Eye, or Tissue Donation—covered entities may use or disclose PHI to facilitate the donation and transplantation of cadaveric organs, eyes, and tissues. </w:t>
      </w:r>
    </w:p>
    <w:p w14:paraId="0BD9D69C"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Research—covered entities may disclose PHI for research purposes, without an individual’s authorization, provided they obtain either: (1) documentation that an alteration or waiver of individuals’ authorization for the disclosure of their PHI for purpose of research has been approved by the Institutional Review Board or Privacy Board; (2) representations from the researcher that the use or disclosure of PHI is solely to prepare a research protocol or for similar purpose preparatory to research, and that research will not remove PHI from covered entity, and that PHI sought is necessary for the research; or (3) representations from the researcher that the use or disclosure sought is solely for </w:t>
      </w:r>
      <w:r w:rsidRPr="00044C30">
        <w:rPr>
          <w:rFonts w:ascii="Times New Roman" w:hAnsi="Times New Roman" w:cs="Times New Roman"/>
        </w:rPr>
        <w:lastRenderedPageBreak/>
        <w:t xml:space="preserve">research on the PHI of decedents, that the PHI sought is necessary for the research, and that at the request of the covered entity, documentation of the death of the individuals. </w:t>
      </w:r>
    </w:p>
    <w:p w14:paraId="3F0AD765"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Serious Threat to Health or Safety—covered entities may disclose PHI they believe is necessary to prevent or lessen a serious and imminent threat to a person or the public, when such disclose is made to someone they believe can prevent or lessen the threat. This includes disclosing PHI to law enforcement when needed to identify or apprehend an escapee or violent criminal. </w:t>
      </w:r>
    </w:p>
    <w:p w14:paraId="1DF6046D"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Essential Government Functions—authorization is not required to disclose PHI for certain essential government functions, including: assuring proper execution of military mission, conducting intelligence and national security activities authorized by law, providing protective services to the President, making medical suitability determinations for U.S. State Department employees, protecting the health and safety of inmates or employees in a correctional institution, and determining eligibility for or conducting enrollment in certain government benefit programs. </w:t>
      </w:r>
    </w:p>
    <w:p w14:paraId="02148F0F" w14:textId="77777777" w:rsidR="00083D5B" w:rsidRPr="00044C30" w:rsidRDefault="00083D5B" w:rsidP="00083D5B">
      <w:pPr>
        <w:pStyle w:val="ListParagraph"/>
        <w:numPr>
          <w:ilvl w:val="2"/>
          <w:numId w:val="4"/>
        </w:numPr>
        <w:rPr>
          <w:rFonts w:ascii="Times New Roman" w:hAnsi="Times New Roman" w:cs="Times New Roman"/>
        </w:rPr>
      </w:pPr>
      <w:r w:rsidRPr="00044C30">
        <w:rPr>
          <w:rFonts w:ascii="Times New Roman" w:hAnsi="Times New Roman" w:cs="Times New Roman"/>
        </w:rPr>
        <w:t xml:space="preserve">Workers’ Compensation—covered entities may disclose PHI as authorized by, and to comply with, workers’ compensation laws and other programs providing benefits for work-related injuries or illnesses.  </w:t>
      </w:r>
    </w:p>
    <w:p w14:paraId="69C0F489"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Limited data sets for the purpose of research, public health or health care operations. </w:t>
      </w:r>
    </w:p>
    <w:p w14:paraId="2A720D8E"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Includes PHI from which certain specified direct identifiers of individuals and their relatives, household members, and employers have been removed. </w:t>
      </w:r>
    </w:p>
    <w:p w14:paraId="747ECCA3"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May be used and disclosed for research, health care operations, and public health purposes, provided the recipient enters into a data use agreement promising specified safeguards for PHI within the limited data set. </w:t>
      </w:r>
    </w:p>
    <w:p w14:paraId="3F7D7111" w14:textId="77777777" w:rsidR="00083D5B" w:rsidRPr="00044C30" w:rsidRDefault="00083D5B" w:rsidP="00083D5B">
      <w:pPr>
        <w:rPr>
          <w:rFonts w:ascii="Times New Roman" w:hAnsi="Times New Roman" w:cs="Times New Roman"/>
        </w:rPr>
      </w:pPr>
    </w:p>
    <w:p w14:paraId="4A6769B9" w14:textId="77777777" w:rsidR="00346E28" w:rsidRPr="00044C30" w:rsidRDefault="00346E28" w:rsidP="00083D5B">
      <w:pPr>
        <w:rPr>
          <w:rFonts w:ascii="Times New Roman" w:hAnsi="Times New Roman" w:cs="Times New Roman"/>
          <w:b/>
        </w:rPr>
      </w:pPr>
      <w:r w:rsidRPr="00044C30">
        <w:rPr>
          <w:rFonts w:ascii="Times New Roman" w:hAnsi="Times New Roman" w:cs="Times New Roman"/>
          <w:b/>
        </w:rPr>
        <w:t>Question 4:</w:t>
      </w:r>
    </w:p>
    <w:p w14:paraId="7C4FC228" w14:textId="77777777" w:rsidR="00346E28" w:rsidRPr="00044C30" w:rsidRDefault="00346E28" w:rsidP="00083D5B">
      <w:pPr>
        <w:rPr>
          <w:rFonts w:ascii="Times New Roman" w:hAnsi="Times New Roman" w:cs="Times New Roman"/>
          <w:b/>
        </w:rPr>
      </w:pPr>
    </w:p>
    <w:p w14:paraId="1AD88493" w14:textId="77777777" w:rsidR="00083D5B" w:rsidRPr="00044C30" w:rsidRDefault="00083D5B" w:rsidP="00083D5B">
      <w:pPr>
        <w:rPr>
          <w:rFonts w:ascii="Times New Roman" w:hAnsi="Times New Roman" w:cs="Times New Roman"/>
        </w:rPr>
      </w:pPr>
      <w:r w:rsidRPr="00044C30">
        <w:rPr>
          <w:rFonts w:ascii="Times New Roman" w:hAnsi="Times New Roman" w:cs="Times New Roman"/>
          <w:b/>
        </w:rPr>
        <w:t>Is HIPAA a privacy rule or a disclosure rule?</w:t>
      </w:r>
      <w:r w:rsidRPr="00044C30">
        <w:rPr>
          <w:rFonts w:ascii="Times New Roman" w:hAnsi="Times New Roman" w:cs="Times New Roman"/>
        </w:rPr>
        <w:t xml:space="preserve"> </w:t>
      </w:r>
    </w:p>
    <w:p w14:paraId="4B11E4D6" w14:textId="633B55B4" w:rsidR="00481FAB" w:rsidRPr="00044C30" w:rsidRDefault="001775B3" w:rsidP="00083D5B">
      <w:pPr>
        <w:rPr>
          <w:rFonts w:ascii="Times New Roman" w:hAnsi="Times New Roman" w:cs="Times New Roman"/>
          <w:b/>
        </w:rPr>
      </w:pPr>
      <w:r w:rsidRPr="00044C30">
        <w:rPr>
          <w:rFonts w:ascii="Times New Roman" w:hAnsi="Times New Roman" w:cs="Times New Roman"/>
          <w:b/>
        </w:rPr>
        <w:t>Under HIPAA, f</w:t>
      </w:r>
      <w:r w:rsidR="00083D5B" w:rsidRPr="00044C30">
        <w:rPr>
          <w:rFonts w:ascii="Times New Roman" w:hAnsi="Times New Roman" w:cs="Times New Roman"/>
          <w:b/>
        </w:rPr>
        <w:t>or what kind of sharing is consent required?</w:t>
      </w:r>
    </w:p>
    <w:p w14:paraId="0AAA5F15" w14:textId="77777777" w:rsidR="00083D5B" w:rsidRPr="00044C30" w:rsidRDefault="00083D5B" w:rsidP="00083D5B">
      <w:pPr>
        <w:rPr>
          <w:rFonts w:ascii="Times New Roman" w:hAnsi="Times New Roman" w:cs="Times New Roman"/>
          <w:b/>
        </w:rPr>
      </w:pPr>
    </w:p>
    <w:p w14:paraId="450E6133"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Generally, HIPAA is considered and referred to as a privacy rule. HIPAA’s privacy rule allows for disclosure of </w:t>
      </w:r>
      <w:r w:rsidR="001775B3" w:rsidRPr="00044C30">
        <w:rPr>
          <w:rFonts w:ascii="Times New Roman" w:hAnsi="Times New Roman" w:cs="Times New Roman"/>
        </w:rPr>
        <w:t xml:space="preserve">PHI </w:t>
      </w:r>
      <w:r w:rsidRPr="00044C30">
        <w:rPr>
          <w:rFonts w:ascii="Times New Roman" w:hAnsi="Times New Roman" w:cs="Times New Roman"/>
        </w:rPr>
        <w:t xml:space="preserve">for the purpose of treatment, payment, or operations. This rule eliminated the need for consent in many instances of disclosure. </w:t>
      </w:r>
    </w:p>
    <w:p w14:paraId="53B3C0AF" w14:textId="77777777" w:rsidR="00083D5B" w:rsidRPr="00044C30" w:rsidRDefault="00083D5B" w:rsidP="00083D5B">
      <w:pPr>
        <w:rPr>
          <w:rFonts w:ascii="Times New Roman" w:hAnsi="Times New Roman" w:cs="Times New Roman"/>
        </w:rPr>
      </w:pPr>
    </w:p>
    <w:p w14:paraId="31F3EDA4" w14:textId="5DA25406" w:rsidR="00083D5B" w:rsidRPr="00044C30" w:rsidRDefault="00083D5B" w:rsidP="00083D5B">
      <w:pPr>
        <w:rPr>
          <w:rFonts w:ascii="Times New Roman" w:hAnsi="Times New Roman" w:cs="Times New Roman"/>
        </w:rPr>
      </w:pPr>
      <w:r w:rsidRPr="00044C30">
        <w:rPr>
          <w:rFonts w:ascii="Times New Roman" w:hAnsi="Times New Roman" w:cs="Times New Roman"/>
        </w:rPr>
        <w:lastRenderedPageBreak/>
        <w:t>Consent</w:t>
      </w:r>
      <w:r w:rsidR="008F136D">
        <w:rPr>
          <w:rFonts w:ascii="Times New Roman" w:hAnsi="Times New Roman" w:cs="Times New Roman"/>
        </w:rPr>
        <w:t xml:space="preserve"> or authorization</w:t>
      </w:r>
      <w:r w:rsidRPr="00044C30">
        <w:rPr>
          <w:rFonts w:ascii="Times New Roman" w:hAnsi="Times New Roman" w:cs="Times New Roman"/>
        </w:rPr>
        <w:t xml:space="preserve"> i</w:t>
      </w:r>
      <w:r w:rsidR="00833D8E">
        <w:rPr>
          <w:rFonts w:ascii="Times New Roman" w:hAnsi="Times New Roman" w:cs="Times New Roman"/>
        </w:rPr>
        <w:t xml:space="preserve">s still required to disclose PHI in some </w:t>
      </w:r>
      <w:r w:rsidRPr="00044C30">
        <w:rPr>
          <w:rFonts w:ascii="Times New Roman" w:hAnsi="Times New Roman" w:cs="Times New Roman"/>
        </w:rPr>
        <w:t xml:space="preserve">circumstances. </w:t>
      </w:r>
      <w:r w:rsidR="00833D8E">
        <w:rPr>
          <w:rFonts w:ascii="Times New Roman" w:hAnsi="Times New Roman" w:cs="Times New Roman"/>
        </w:rPr>
        <w:t>Most notably,</w:t>
      </w:r>
      <w:r w:rsidRPr="00044C30">
        <w:rPr>
          <w:rFonts w:ascii="Times New Roman" w:hAnsi="Times New Roman" w:cs="Times New Roman"/>
        </w:rPr>
        <w:t xml:space="preserve"> consent is required if PHI is being disclosed to a pe</w:t>
      </w:r>
      <w:r w:rsidR="001C4DFF">
        <w:rPr>
          <w:rFonts w:ascii="Times New Roman" w:hAnsi="Times New Roman" w:cs="Times New Roman"/>
        </w:rPr>
        <w:t xml:space="preserve">rson’s employer. </w:t>
      </w:r>
      <w:r w:rsidR="00833D8E">
        <w:rPr>
          <w:rFonts w:ascii="Times New Roman" w:hAnsi="Times New Roman" w:cs="Times New Roman"/>
        </w:rPr>
        <w:t>Additionally</w:t>
      </w:r>
      <w:r w:rsidR="001C4DFF">
        <w:rPr>
          <w:rFonts w:ascii="Times New Roman" w:hAnsi="Times New Roman" w:cs="Times New Roman"/>
        </w:rPr>
        <w:t>, individual authorization</w:t>
      </w:r>
      <w:r w:rsidRPr="00044C30">
        <w:rPr>
          <w:rFonts w:ascii="Times New Roman" w:hAnsi="Times New Roman" w:cs="Times New Roman"/>
        </w:rPr>
        <w:t xml:space="preserve"> is required if PHI is being shared for the purpose of marketing or advertising.   </w:t>
      </w:r>
    </w:p>
    <w:p w14:paraId="07CED3B8" w14:textId="7CB47798" w:rsidR="00346E28" w:rsidRPr="00044C30" w:rsidRDefault="00346E28" w:rsidP="00083D5B">
      <w:pPr>
        <w:rPr>
          <w:rFonts w:ascii="Times New Roman" w:hAnsi="Times New Roman" w:cs="Times New Roman"/>
          <w:b/>
        </w:rPr>
      </w:pPr>
    </w:p>
    <w:p w14:paraId="249CE142" w14:textId="77777777" w:rsidR="00346E28" w:rsidRPr="00044C30" w:rsidRDefault="00346E28" w:rsidP="00083D5B">
      <w:pPr>
        <w:rPr>
          <w:rFonts w:ascii="Times New Roman" w:hAnsi="Times New Roman" w:cs="Times New Roman"/>
          <w:b/>
        </w:rPr>
      </w:pPr>
    </w:p>
    <w:p w14:paraId="317A6949" w14:textId="77777777" w:rsidR="00324715" w:rsidRPr="00044C30" w:rsidRDefault="00324715" w:rsidP="00083D5B">
      <w:pPr>
        <w:rPr>
          <w:rFonts w:ascii="Times New Roman" w:hAnsi="Times New Roman" w:cs="Times New Roman"/>
          <w:b/>
        </w:rPr>
      </w:pPr>
      <w:r w:rsidRPr="00044C30">
        <w:rPr>
          <w:rFonts w:ascii="Times New Roman" w:hAnsi="Times New Roman" w:cs="Times New Roman"/>
          <w:b/>
        </w:rPr>
        <w:t>Question 5:</w:t>
      </w:r>
    </w:p>
    <w:p w14:paraId="4025D3DC" w14:textId="77777777" w:rsidR="00324715" w:rsidRPr="00044C30" w:rsidRDefault="00324715" w:rsidP="00083D5B">
      <w:pPr>
        <w:rPr>
          <w:rFonts w:ascii="Times New Roman" w:hAnsi="Times New Roman" w:cs="Times New Roman"/>
          <w:b/>
        </w:rPr>
      </w:pPr>
    </w:p>
    <w:p w14:paraId="1857CDFC" w14:textId="566F1FE1" w:rsidR="00083D5B" w:rsidRDefault="00083D5B" w:rsidP="00083D5B">
      <w:pPr>
        <w:rPr>
          <w:rFonts w:ascii="Times New Roman" w:hAnsi="Times New Roman" w:cs="Times New Roman"/>
          <w:b/>
        </w:rPr>
      </w:pPr>
      <w:r w:rsidRPr="00044C30">
        <w:rPr>
          <w:rFonts w:ascii="Times New Roman" w:hAnsi="Times New Roman" w:cs="Times New Roman"/>
          <w:b/>
        </w:rPr>
        <w:t xml:space="preserve">How can penalties and rights for patients be more enhanced/enforced on a state level when there are violations of privacy rather than relying on making a complaint to </w:t>
      </w:r>
      <w:r w:rsidR="005827C5">
        <w:rPr>
          <w:rFonts w:ascii="Times New Roman" w:hAnsi="Times New Roman" w:cs="Times New Roman"/>
          <w:b/>
        </w:rPr>
        <w:t>the Office for Civil Rights</w:t>
      </w:r>
      <w:r w:rsidRPr="00044C30">
        <w:rPr>
          <w:rFonts w:ascii="Times New Roman" w:hAnsi="Times New Roman" w:cs="Times New Roman"/>
          <w:b/>
        </w:rPr>
        <w:t>?</w:t>
      </w:r>
    </w:p>
    <w:p w14:paraId="0026DE3F" w14:textId="77777777" w:rsidR="006E26C5" w:rsidRPr="00044C30" w:rsidRDefault="006E26C5" w:rsidP="00083D5B">
      <w:pPr>
        <w:rPr>
          <w:rFonts w:ascii="Times New Roman" w:hAnsi="Times New Roman" w:cs="Times New Roman"/>
          <w:b/>
        </w:rPr>
      </w:pPr>
    </w:p>
    <w:p w14:paraId="7B85FC62" w14:textId="40F5AF6B" w:rsidR="00864C84" w:rsidRDefault="00083D5B" w:rsidP="00083D5B">
      <w:pPr>
        <w:rPr>
          <w:rFonts w:ascii="Times New Roman" w:hAnsi="Times New Roman" w:cs="Times New Roman"/>
        </w:rPr>
      </w:pPr>
      <w:r w:rsidRPr="00044C30">
        <w:rPr>
          <w:rFonts w:ascii="Times New Roman" w:hAnsi="Times New Roman" w:cs="Times New Roman"/>
        </w:rPr>
        <w:t xml:space="preserve">The U.S. Department of Health and Human Services (HHS), Office for Civil Rights (OCR) is responsible for enforcing HIPAA and investigating complaints filed with OCR. </w:t>
      </w:r>
      <w:r w:rsidR="00864C84">
        <w:rPr>
          <w:rFonts w:ascii="Times New Roman" w:hAnsi="Times New Roman" w:cs="Times New Roman"/>
        </w:rPr>
        <w:t>The complaint process is as follows:</w:t>
      </w:r>
    </w:p>
    <w:p w14:paraId="5E30402B" w14:textId="77777777" w:rsidR="009264F9" w:rsidRDefault="009264F9" w:rsidP="00083D5B">
      <w:pPr>
        <w:rPr>
          <w:rFonts w:ascii="Times New Roman" w:hAnsi="Times New Roman" w:cs="Times New Roman"/>
        </w:rPr>
      </w:pPr>
      <w:r w:rsidRPr="009264F9">
        <w:rPr>
          <w:rFonts w:ascii="Times New Roman" w:hAnsi="Times New Roman" w:cs="Times New Roman"/>
          <w:noProof/>
        </w:rPr>
        <w:drawing>
          <wp:inline distT="0" distB="0" distL="0" distR="0" wp14:anchorId="2EC6919D" wp14:editId="65DC4691">
            <wp:extent cx="5130165" cy="3836035"/>
            <wp:effectExtent l="0" t="0" r="0" b="0"/>
            <wp:docPr id="3" name="Picture 3" descr="Image chart showing  HIPAA privacy and security rule complai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IPAA complaint proc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0165" cy="3836035"/>
                    </a:xfrm>
                    <a:prstGeom prst="rect">
                      <a:avLst/>
                    </a:prstGeom>
                    <a:noFill/>
                    <a:ln>
                      <a:noFill/>
                    </a:ln>
                  </pic:spPr>
                </pic:pic>
              </a:graphicData>
            </a:graphic>
          </wp:inline>
        </w:drawing>
      </w:r>
      <w:r>
        <w:rPr>
          <w:rStyle w:val="FootnoteReference"/>
          <w:rFonts w:ascii="Times New Roman" w:hAnsi="Times New Roman" w:cs="Times New Roman"/>
        </w:rPr>
        <w:footnoteReference w:id="19"/>
      </w:r>
    </w:p>
    <w:p w14:paraId="7C1A901A" w14:textId="77777777" w:rsidR="00864C84" w:rsidRPr="00864C84" w:rsidRDefault="00864C84" w:rsidP="00864C84">
      <w:pPr>
        <w:numPr>
          <w:ilvl w:val="0"/>
          <w:numId w:val="3"/>
        </w:numPr>
        <w:rPr>
          <w:rFonts w:ascii="Times New Roman" w:hAnsi="Times New Roman" w:cs="Times New Roman"/>
        </w:rPr>
      </w:pPr>
      <w:r>
        <w:rPr>
          <w:rFonts w:ascii="Times New Roman" w:hAnsi="Times New Roman" w:cs="Times New Roman"/>
        </w:rPr>
        <w:lastRenderedPageBreak/>
        <w:t>Any person who believes their rights under HIPAA have been violated may file a</w:t>
      </w:r>
      <w:r w:rsidRPr="00864C84">
        <w:rPr>
          <w:rFonts w:ascii="Times New Roman" w:hAnsi="Times New Roman" w:cs="Times New Roman"/>
        </w:rPr>
        <w:t xml:space="preserve"> complaint with the Secretary of Health and Human Services</w:t>
      </w:r>
      <w:r>
        <w:rPr>
          <w:rFonts w:ascii="Times New Roman" w:hAnsi="Times New Roman" w:cs="Times New Roman"/>
        </w:rPr>
        <w:t>.</w:t>
      </w:r>
      <w:r>
        <w:rPr>
          <w:rStyle w:val="FootnoteReference"/>
          <w:rFonts w:ascii="Times New Roman" w:hAnsi="Times New Roman" w:cs="Times New Roman"/>
        </w:rPr>
        <w:footnoteReference w:id="20"/>
      </w:r>
      <w:r>
        <w:rPr>
          <w:rFonts w:ascii="Times New Roman" w:hAnsi="Times New Roman" w:cs="Times New Roman"/>
        </w:rPr>
        <w:t xml:space="preserve"> </w:t>
      </w:r>
    </w:p>
    <w:p w14:paraId="22173786"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Complaints must be in writing and filed within 180 days of when complainant knew or should have known that the act or omission complained of occurred.</w:t>
      </w:r>
    </w:p>
    <w:p w14:paraId="6FB9CFBE" w14:textId="77777777" w:rsid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This time limit may be waived by the Secretary if good cause is shown. </w:t>
      </w:r>
    </w:p>
    <w:p w14:paraId="4663917A" w14:textId="77777777" w:rsidR="009264F9" w:rsidRDefault="00864C84" w:rsidP="009264F9">
      <w:pPr>
        <w:numPr>
          <w:ilvl w:val="0"/>
          <w:numId w:val="3"/>
        </w:numPr>
        <w:rPr>
          <w:rFonts w:ascii="Times New Roman" w:hAnsi="Times New Roman" w:cs="Times New Roman"/>
        </w:rPr>
      </w:pPr>
      <w:r w:rsidRPr="009264F9">
        <w:rPr>
          <w:rFonts w:ascii="Times New Roman" w:hAnsi="Times New Roman" w:cs="Times New Roman"/>
        </w:rPr>
        <w:t xml:space="preserve">Following a complaint, a preliminary review occurs. </w:t>
      </w:r>
    </w:p>
    <w:p w14:paraId="74D0CD0F" w14:textId="43692A68" w:rsidR="009264F9" w:rsidRPr="009264F9" w:rsidRDefault="00D56F19" w:rsidP="009264F9">
      <w:pPr>
        <w:numPr>
          <w:ilvl w:val="1"/>
          <w:numId w:val="3"/>
        </w:numPr>
        <w:rPr>
          <w:rFonts w:ascii="Times New Roman" w:hAnsi="Times New Roman" w:cs="Times New Roman"/>
        </w:rPr>
      </w:pPr>
      <w:r>
        <w:rPr>
          <w:rFonts w:ascii="Times New Roman" w:hAnsi="Times New Roman" w:cs="Times New Roman"/>
        </w:rPr>
        <w:t>The</w:t>
      </w:r>
      <w:r w:rsidR="009264F9" w:rsidRPr="009264F9">
        <w:rPr>
          <w:rFonts w:ascii="Times New Roman" w:hAnsi="Times New Roman" w:cs="Times New Roman"/>
        </w:rPr>
        <w:t xml:space="preserve"> complaint process ends if the review shows any of the four problems above, listed under “Resolution.”</w:t>
      </w:r>
      <w:r w:rsidR="009264F9">
        <w:rPr>
          <w:rFonts w:ascii="Times New Roman" w:hAnsi="Times New Roman" w:cs="Times New Roman"/>
        </w:rPr>
        <w:t xml:space="preserve"> For example, if the entity</w:t>
      </w:r>
      <w:r w:rsidR="000413E0">
        <w:rPr>
          <w:rFonts w:ascii="Times New Roman" w:hAnsi="Times New Roman" w:cs="Times New Roman"/>
        </w:rPr>
        <w:t xml:space="preserve"> (employer, life insurers, law enforcement agency, etc.)</w:t>
      </w:r>
      <w:r w:rsidR="009264F9">
        <w:rPr>
          <w:rFonts w:ascii="Times New Roman" w:hAnsi="Times New Roman" w:cs="Times New Roman"/>
        </w:rPr>
        <w:t xml:space="preserve"> is not covered by the privac</w:t>
      </w:r>
      <w:r w:rsidR="000413E0">
        <w:rPr>
          <w:rFonts w:ascii="Times New Roman" w:hAnsi="Times New Roman" w:cs="Times New Roman"/>
        </w:rPr>
        <w:t xml:space="preserve">y rule, the complaint is rejected. </w:t>
      </w:r>
    </w:p>
    <w:p w14:paraId="0957AD31" w14:textId="77777777" w:rsidR="00864C84" w:rsidRDefault="00864C84" w:rsidP="009264F9">
      <w:pPr>
        <w:numPr>
          <w:ilvl w:val="1"/>
          <w:numId w:val="3"/>
        </w:numPr>
        <w:rPr>
          <w:rFonts w:ascii="Times New Roman" w:hAnsi="Times New Roman" w:cs="Times New Roman"/>
        </w:rPr>
      </w:pPr>
      <w:r w:rsidRPr="009264F9">
        <w:rPr>
          <w:rFonts w:ascii="Times New Roman" w:hAnsi="Times New Roman" w:cs="Times New Roman"/>
        </w:rPr>
        <w:t>If the review indicates a possible violation</w:t>
      </w:r>
      <w:r w:rsidR="000413E0">
        <w:rPr>
          <w:rFonts w:ascii="Times New Roman" w:hAnsi="Times New Roman" w:cs="Times New Roman"/>
        </w:rPr>
        <w:t xml:space="preserve">, </w:t>
      </w:r>
      <w:r w:rsidRPr="009264F9">
        <w:rPr>
          <w:rFonts w:ascii="Times New Roman" w:hAnsi="Times New Roman" w:cs="Times New Roman"/>
        </w:rPr>
        <w:t xml:space="preserve">the </w:t>
      </w:r>
      <w:r w:rsidR="000413E0">
        <w:rPr>
          <w:rFonts w:ascii="Times New Roman" w:hAnsi="Times New Roman" w:cs="Times New Roman"/>
        </w:rPr>
        <w:t>OCR</w:t>
      </w:r>
      <w:r w:rsidRPr="009264F9">
        <w:rPr>
          <w:rFonts w:ascii="Times New Roman" w:hAnsi="Times New Roman" w:cs="Times New Roman"/>
        </w:rPr>
        <w:t xml:space="preserve"> will conduct an investigation or compliance review to determine if the covered entity or business associate is in compliance. </w:t>
      </w:r>
    </w:p>
    <w:p w14:paraId="039BE448" w14:textId="77777777" w:rsidR="000413E0" w:rsidRDefault="000413E0" w:rsidP="000413E0">
      <w:pPr>
        <w:numPr>
          <w:ilvl w:val="2"/>
          <w:numId w:val="3"/>
        </w:numPr>
        <w:rPr>
          <w:rFonts w:ascii="Times New Roman" w:hAnsi="Times New Roman" w:cs="Times New Roman"/>
        </w:rPr>
      </w:pPr>
      <w:r>
        <w:rPr>
          <w:rFonts w:ascii="Times New Roman" w:hAnsi="Times New Roman" w:cs="Times New Roman"/>
        </w:rPr>
        <w:t>OCR may request additional specific information from the covered entity or person filing the complaint.</w:t>
      </w:r>
      <w:r>
        <w:rPr>
          <w:rStyle w:val="FootnoteReference"/>
          <w:rFonts w:ascii="Times New Roman" w:hAnsi="Times New Roman" w:cs="Times New Roman"/>
        </w:rPr>
        <w:footnoteReference w:id="21"/>
      </w:r>
      <w:r>
        <w:rPr>
          <w:rFonts w:ascii="Times New Roman" w:hAnsi="Times New Roman" w:cs="Times New Roman"/>
        </w:rPr>
        <w:t xml:space="preserve"> </w:t>
      </w:r>
    </w:p>
    <w:p w14:paraId="0E914978" w14:textId="77777777" w:rsidR="000413E0" w:rsidRDefault="000413E0" w:rsidP="000413E0">
      <w:pPr>
        <w:numPr>
          <w:ilvl w:val="2"/>
          <w:numId w:val="3"/>
        </w:numPr>
        <w:rPr>
          <w:rFonts w:ascii="Times New Roman" w:hAnsi="Times New Roman" w:cs="Times New Roman"/>
        </w:rPr>
      </w:pPr>
      <w:r>
        <w:rPr>
          <w:rFonts w:ascii="Times New Roman" w:hAnsi="Times New Roman" w:cs="Times New Roman"/>
        </w:rPr>
        <w:t>If the complaint describes what may be a violation of criminal provisions of HIPAA, the OCR may refer the complaint to the Department of Justice (DOJ) for investigation.</w:t>
      </w:r>
    </w:p>
    <w:p w14:paraId="76BC339E" w14:textId="77777777" w:rsidR="000413E0" w:rsidRDefault="000413E0" w:rsidP="000413E0">
      <w:pPr>
        <w:numPr>
          <w:ilvl w:val="2"/>
          <w:numId w:val="3"/>
        </w:numPr>
        <w:rPr>
          <w:rFonts w:ascii="Times New Roman" w:hAnsi="Times New Roman" w:cs="Times New Roman"/>
        </w:rPr>
      </w:pPr>
      <w:r>
        <w:rPr>
          <w:rFonts w:ascii="Times New Roman" w:hAnsi="Times New Roman" w:cs="Times New Roman"/>
        </w:rPr>
        <w:t>If the OCR review finds that a violation occurred, but that it was not criminal, the OCR will attempt to resolve the complaint in three possible ways:</w:t>
      </w:r>
    </w:p>
    <w:p w14:paraId="2D1528FD" w14:textId="77777777" w:rsidR="000413E0" w:rsidRDefault="000413E0" w:rsidP="000413E0">
      <w:pPr>
        <w:numPr>
          <w:ilvl w:val="3"/>
          <w:numId w:val="3"/>
        </w:numPr>
        <w:rPr>
          <w:rFonts w:ascii="Times New Roman" w:hAnsi="Times New Roman" w:cs="Times New Roman"/>
        </w:rPr>
      </w:pPr>
      <w:r>
        <w:rPr>
          <w:rFonts w:ascii="Times New Roman" w:hAnsi="Times New Roman" w:cs="Times New Roman"/>
        </w:rPr>
        <w:t xml:space="preserve">Voluntary compliance; </w:t>
      </w:r>
    </w:p>
    <w:p w14:paraId="1FD23DAA" w14:textId="77777777" w:rsidR="000413E0" w:rsidRDefault="000413E0" w:rsidP="000413E0">
      <w:pPr>
        <w:numPr>
          <w:ilvl w:val="3"/>
          <w:numId w:val="3"/>
        </w:numPr>
        <w:rPr>
          <w:rFonts w:ascii="Times New Roman" w:hAnsi="Times New Roman" w:cs="Times New Roman"/>
        </w:rPr>
      </w:pPr>
      <w:r>
        <w:rPr>
          <w:rFonts w:ascii="Times New Roman" w:hAnsi="Times New Roman" w:cs="Times New Roman"/>
        </w:rPr>
        <w:t>Corrective action; and/or</w:t>
      </w:r>
    </w:p>
    <w:p w14:paraId="5F946EBC" w14:textId="77777777" w:rsidR="000413E0" w:rsidRPr="009264F9" w:rsidRDefault="000413E0" w:rsidP="000413E0">
      <w:pPr>
        <w:numPr>
          <w:ilvl w:val="3"/>
          <w:numId w:val="3"/>
        </w:numPr>
        <w:rPr>
          <w:rFonts w:ascii="Times New Roman" w:hAnsi="Times New Roman" w:cs="Times New Roman"/>
        </w:rPr>
      </w:pPr>
      <w:r>
        <w:rPr>
          <w:rFonts w:ascii="Times New Roman" w:hAnsi="Times New Roman" w:cs="Times New Roman"/>
        </w:rPr>
        <w:t xml:space="preserve">Resolution or agreement. </w:t>
      </w:r>
    </w:p>
    <w:p w14:paraId="5C69032E" w14:textId="77777777" w:rsidR="00FC2A6D" w:rsidRDefault="00CC386F" w:rsidP="00FC2A6D">
      <w:pPr>
        <w:numPr>
          <w:ilvl w:val="0"/>
          <w:numId w:val="3"/>
        </w:numPr>
        <w:rPr>
          <w:rFonts w:ascii="Times New Roman" w:hAnsi="Times New Roman" w:cs="Times New Roman"/>
        </w:rPr>
      </w:pPr>
      <w:r>
        <w:rPr>
          <w:rFonts w:ascii="Times New Roman" w:hAnsi="Times New Roman" w:cs="Times New Roman"/>
        </w:rPr>
        <w:t xml:space="preserve">If a penalty is enforced as part of the resolution, the OCR will determine the amount of the penalty.  </w:t>
      </w:r>
    </w:p>
    <w:p w14:paraId="43ABD03B"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 xml:space="preserve">Secretary of Health and Human Services may waive civil penalties, except for violations that show a willful neglect. </w:t>
      </w:r>
    </w:p>
    <w:p w14:paraId="31603D14"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Secretary considers 5 factors in determining amount of civil penalty, these include:</w:t>
      </w:r>
    </w:p>
    <w:p w14:paraId="5413F358"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Nature and extent of the violation; </w:t>
      </w:r>
    </w:p>
    <w:p w14:paraId="1C6B50F6"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Nature and extent of the harm resulting from the violation; </w:t>
      </w:r>
    </w:p>
    <w:p w14:paraId="5C0DA69C"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lastRenderedPageBreak/>
        <w:t xml:space="preserve">History of prior compliance with administrative simplification provisions, including violations; </w:t>
      </w:r>
    </w:p>
    <w:p w14:paraId="12BDA630" w14:textId="72AC2616"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Financial condition of the covered entity or business associate; </w:t>
      </w:r>
      <w:r w:rsidR="000468E0">
        <w:rPr>
          <w:rFonts w:ascii="Times New Roman" w:hAnsi="Times New Roman" w:cs="Times New Roman"/>
        </w:rPr>
        <w:t>and</w:t>
      </w:r>
    </w:p>
    <w:p w14:paraId="109D280D" w14:textId="513E07E9"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Such other matters as justice may require</w:t>
      </w:r>
      <w:r w:rsidR="000468E0">
        <w:rPr>
          <w:rFonts w:ascii="Times New Roman" w:hAnsi="Times New Roman" w:cs="Times New Roman"/>
        </w:rPr>
        <w:t>.</w:t>
      </w:r>
    </w:p>
    <w:p w14:paraId="78163F6E"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Penalty amounts are awarded based on reason/type of violation and frequency of violations</w:t>
      </w:r>
    </w:p>
    <w:p w14:paraId="088C4E75" w14:textId="77777777" w:rsidR="00864C84" w:rsidRPr="00864C84" w:rsidRDefault="00CB2ECF" w:rsidP="00864C84">
      <w:pPr>
        <w:numPr>
          <w:ilvl w:val="2"/>
          <w:numId w:val="3"/>
        </w:numPr>
        <w:rPr>
          <w:rFonts w:ascii="Times New Roman" w:hAnsi="Times New Roman" w:cs="Times New Roman"/>
        </w:rPr>
      </w:pPr>
      <w:r>
        <w:rPr>
          <w:rFonts w:ascii="Times New Roman" w:hAnsi="Times New Roman" w:cs="Times New Roman"/>
        </w:rPr>
        <w:t>Unknowingly</w:t>
      </w:r>
      <w:r w:rsidR="00864C84" w:rsidRPr="00864C84">
        <w:rPr>
          <w:rFonts w:ascii="Times New Roman" w:hAnsi="Times New Roman" w:cs="Times New Roman"/>
        </w:rPr>
        <w:t xml:space="preserve"> = $100 - $50,000 </w:t>
      </w:r>
    </w:p>
    <w:p w14:paraId="09AA9CC6" w14:textId="77777777" w:rsidR="00864C84" w:rsidRPr="00864C84" w:rsidRDefault="00864C84" w:rsidP="00864C84">
      <w:pPr>
        <w:numPr>
          <w:ilvl w:val="3"/>
          <w:numId w:val="3"/>
        </w:numPr>
        <w:rPr>
          <w:rFonts w:ascii="Times New Roman" w:hAnsi="Times New Roman" w:cs="Times New Roman"/>
        </w:rPr>
      </w:pPr>
      <w:r w:rsidRPr="00864C84">
        <w:rPr>
          <w:rFonts w:ascii="Times New Roman" w:hAnsi="Times New Roman" w:cs="Times New Roman"/>
        </w:rPr>
        <w:t>A violation, of an identical provision, in a calendar year is fined $1,500,000</w:t>
      </w:r>
    </w:p>
    <w:p w14:paraId="714D093B"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Reasonable Cause = $1,000 - $50,000</w:t>
      </w:r>
    </w:p>
    <w:p w14:paraId="33680A34" w14:textId="77777777" w:rsidR="00864C84" w:rsidRPr="00864C84" w:rsidRDefault="00864C84" w:rsidP="00864C84">
      <w:pPr>
        <w:numPr>
          <w:ilvl w:val="3"/>
          <w:numId w:val="3"/>
        </w:numPr>
        <w:rPr>
          <w:rFonts w:ascii="Times New Roman" w:hAnsi="Times New Roman" w:cs="Times New Roman"/>
        </w:rPr>
      </w:pPr>
      <w:r w:rsidRPr="00864C84">
        <w:rPr>
          <w:rFonts w:ascii="Times New Roman" w:hAnsi="Times New Roman" w:cs="Times New Roman"/>
        </w:rPr>
        <w:t>A violation, of an identical provision, in a calendar year is fined $1,500,000</w:t>
      </w:r>
    </w:p>
    <w:p w14:paraId="395C4AC7"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Willful Neglect (Corrected) = $10,000 - $50,000 </w:t>
      </w:r>
    </w:p>
    <w:p w14:paraId="24AD7EA0" w14:textId="77777777" w:rsidR="00864C84" w:rsidRPr="00864C84" w:rsidRDefault="00864C84" w:rsidP="00864C84">
      <w:pPr>
        <w:numPr>
          <w:ilvl w:val="3"/>
          <w:numId w:val="3"/>
        </w:numPr>
        <w:rPr>
          <w:rFonts w:ascii="Times New Roman" w:hAnsi="Times New Roman" w:cs="Times New Roman"/>
        </w:rPr>
      </w:pPr>
      <w:r w:rsidRPr="00864C84">
        <w:rPr>
          <w:rFonts w:ascii="Times New Roman" w:hAnsi="Times New Roman" w:cs="Times New Roman"/>
        </w:rPr>
        <w:t>A violation of an identical provision, in a calendar year is fined $1,500,000</w:t>
      </w:r>
    </w:p>
    <w:p w14:paraId="2EDF7ACC"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Willful Neglected (Not Corrected) = $50,000</w:t>
      </w:r>
    </w:p>
    <w:p w14:paraId="4E76A034" w14:textId="77777777" w:rsidR="00864C84" w:rsidRPr="00864C84" w:rsidRDefault="00864C84" w:rsidP="00864C84">
      <w:pPr>
        <w:numPr>
          <w:ilvl w:val="3"/>
          <w:numId w:val="3"/>
        </w:numPr>
        <w:rPr>
          <w:rFonts w:ascii="Times New Roman" w:hAnsi="Times New Roman" w:cs="Times New Roman"/>
        </w:rPr>
      </w:pPr>
      <w:r w:rsidRPr="00864C84">
        <w:rPr>
          <w:rFonts w:ascii="Times New Roman" w:hAnsi="Times New Roman" w:cs="Times New Roman"/>
        </w:rPr>
        <w:t>A violation of an identical provision, in a calendar year is fined $1,500,000</w:t>
      </w:r>
    </w:p>
    <w:p w14:paraId="37ECB84B"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Criminal penalties may be imposed if person knowingly violates the following provisions of HIPAA:</w:t>
      </w:r>
    </w:p>
    <w:p w14:paraId="0F66E114"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Uses or causes to be used a unique health identifier; </w:t>
      </w:r>
    </w:p>
    <w:p w14:paraId="78D568D8"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Obtains individually identifiable health information relating to an individual; or</w:t>
      </w:r>
    </w:p>
    <w:p w14:paraId="2E242998"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Discloses individually identifiable health information to another person. </w:t>
      </w:r>
    </w:p>
    <w:p w14:paraId="3C5C8143" w14:textId="77777777" w:rsidR="00864C84" w:rsidRPr="00864C84" w:rsidRDefault="00864C84" w:rsidP="00864C84">
      <w:pPr>
        <w:numPr>
          <w:ilvl w:val="1"/>
          <w:numId w:val="3"/>
        </w:numPr>
        <w:rPr>
          <w:rFonts w:ascii="Times New Roman" w:hAnsi="Times New Roman" w:cs="Times New Roman"/>
        </w:rPr>
      </w:pPr>
      <w:r w:rsidRPr="00864C84">
        <w:rPr>
          <w:rFonts w:ascii="Times New Roman" w:hAnsi="Times New Roman" w:cs="Times New Roman"/>
        </w:rPr>
        <w:t xml:space="preserve">Criminal penalties include: </w:t>
      </w:r>
    </w:p>
    <w:p w14:paraId="43D7C766"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Fine of no more than $50,000 and/or imprisonment of no more than 1 year; </w:t>
      </w:r>
    </w:p>
    <w:p w14:paraId="480968A6" w14:textId="31D0D9B0"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If offense is committed under</w:t>
      </w:r>
      <w:r w:rsidR="000468E0">
        <w:rPr>
          <w:rFonts w:ascii="Times New Roman" w:hAnsi="Times New Roman" w:cs="Times New Roman"/>
        </w:rPr>
        <w:t xml:space="preserve"> false pretenses, a fine of</w:t>
      </w:r>
      <w:r w:rsidRPr="00864C84">
        <w:rPr>
          <w:rFonts w:ascii="Times New Roman" w:hAnsi="Times New Roman" w:cs="Times New Roman"/>
        </w:rPr>
        <w:t xml:space="preserve"> no more than $100,000 and/or imprisonment of no more than 5 year</w:t>
      </w:r>
      <w:r w:rsidR="000468E0">
        <w:rPr>
          <w:rFonts w:ascii="Times New Roman" w:hAnsi="Times New Roman" w:cs="Times New Roman"/>
        </w:rPr>
        <w:t>s</w:t>
      </w:r>
      <w:r w:rsidRPr="00864C84">
        <w:rPr>
          <w:rFonts w:ascii="Times New Roman" w:hAnsi="Times New Roman" w:cs="Times New Roman"/>
        </w:rPr>
        <w:t>; and</w:t>
      </w:r>
    </w:p>
    <w:p w14:paraId="2C0084EB" w14:textId="77777777" w:rsidR="00864C84" w:rsidRPr="00864C84" w:rsidRDefault="00864C84" w:rsidP="00864C84">
      <w:pPr>
        <w:numPr>
          <w:ilvl w:val="2"/>
          <w:numId w:val="3"/>
        </w:numPr>
        <w:rPr>
          <w:rFonts w:ascii="Times New Roman" w:hAnsi="Times New Roman" w:cs="Times New Roman"/>
        </w:rPr>
      </w:pPr>
      <w:r w:rsidRPr="00864C84">
        <w:rPr>
          <w:rFonts w:ascii="Times New Roman" w:hAnsi="Times New Roman" w:cs="Times New Roman"/>
        </w:rPr>
        <w:t xml:space="preserve">If offense is committed with intent to sell, transfer, or use individually identifiable health information for commercial advantage, personal gain, or malicious harm, a fine of no more than $250,000 and/or imprisonment of no more than 10 years or both. </w:t>
      </w:r>
    </w:p>
    <w:p w14:paraId="2AF7F254" w14:textId="77777777" w:rsidR="00864C84" w:rsidRDefault="00864C84" w:rsidP="00083D5B">
      <w:pPr>
        <w:rPr>
          <w:rFonts w:ascii="Times New Roman" w:hAnsi="Times New Roman" w:cs="Times New Roman"/>
        </w:rPr>
      </w:pPr>
    </w:p>
    <w:p w14:paraId="05185AE2" w14:textId="3D129287" w:rsidR="00CB2ECF" w:rsidRDefault="005C51E2" w:rsidP="00083D5B">
      <w:pPr>
        <w:rPr>
          <w:rFonts w:ascii="Times New Roman" w:hAnsi="Times New Roman" w:cs="Times New Roman"/>
        </w:rPr>
      </w:pPr>
      <w:r>
        <w:rPr>
          <w:rFonts w:ascii="Times New Roman" w:hAnsi="Times New Roman" w:cs="Times New Roman"/>
        </w:rPr>
        <w:lastRenderedPageBreak/>
        <w:t xml:space="preserve">While the complaint </w:t>
      </w:r>
      <w:r w:rsidR="00CB2ECF">
        <w:rPr>
          <w:rFonts w:ascii="Times New Roman" w:hAnsi="Times New Roman" w:cs="Times New Roman"/>
        </w:rPr>
        <w:t>process may provide some victims a remedy, it does very</w:t>
      </w:r>
      <w:r w:rsidR="00B710D6">
        <w:rPr>
          <w:rFonts w:ascii="Times New Roman" w:hAnsi="Times New Roman" w:cs="Times New Roman"/>
        </w:rPr>
        <w:t xml:space="preserve"> little to compensate them for any losses</w:t>
      </w:r>
      <w:r w:rsidR="00CB2ECF">
        <w:rPr>
          <w:rFonts w:ascii="Times New Roman" w:hAnsi="Times New Roman" w:cs="Times New Roman"/>
        </w:rPr>
        <w:t>. In the rare circumstances in which a fine is levied against a covered entity, it is collected by the OCR for the purpose of enforcing provisions of HIPAA.</w:t>
      </w:r>
      <w:r w:rsidR="00CB2ECF">
        <w:rPr>
          <w:rStyle w:val="FootnoteReference"/>
          <w:rFonts w:ascii="Times New Roman" w:hAnsi="Times New Roman" w:cs="Times New Roman"/>
        </w:rPr>
        <w:footnoteReference w:id="22"/>
      </w:r>
      <w:r w:rsidR="00CB2ECF">
        <w:rPr>
          <w:rFonts w:ascii="Times New Roman" w:hAnsi="Times New Roman" w:cs="Times New Roman"/>
        </w:rPr>
        <w:t xml:space="preserve"> A percentage of the penalty is to be distributed to those harmed by the violation. </w:t>
      </w:r>
      <w:r w:rsidR="00B87674">
        <w:rPr>
          <w:rFonts w:ascii="Times New Roman" w:hAnsi="Times New Roman" w:cs="Times New Roman"/>
        </w:rPr>
        <w:t xml:space="preserve">The method and circumstances for distributing penalties to victims was to be determined no later than 18 months after February 17, 2009. </w:t>
      </w:r>
      <w:r w:rsidR="00CB2ECF">
        <w:rPr>
          <w:rFonts w:ascii="Times New Roman" w:hAnsi="Times New Roman" w:cs="Times New Roman"/>
        </w:rPr>
        <w:t xml:space="preserve">However, </w:t>
      </w:r>
      <w:r w:rsidR="00B87674">
        <w:rPr>
          <w:rFonts w:ascii="Times New Roman" w:hAnsi="Times New Roman" w:cs="Times New Roman"/>
        </w:rPr>
        <w:t>HHS has not been able to establish the methodology for or circumstances in which a harmed individual would be paid a percentage of the penalty. As a resu</w:t>
      </w:r>
      <w:r w:rsidR="00412819">
        <w:rPr>
          <w:rFonts w:ascii="Times New Roman" w:hAnsi="Times New Roman" w:cs="Times New Roman"/>
        </w:rPr>
        <w:t>lt, those harmed do not receive</w:t>
      </w:r>
      <w:r w:rsidR="00B87674">
        <w:rPr>
          <w:rFonts w:ascii="Times New Roman" w:hAnsi="Times New Roman" w:cs="Times New Roman"/>
        </w:rPr>
        <w:t xml:space="preserve"> compensation for any of their time or money lost pursuing the complaint process. For this reason, </w:t>
      </w:r>
      <w:r w:rsidR="00412819">
        <w:rPr>
          <w:rFonts w:ascii="Times New Roman" w:hAnsi="Times New Roman" w:cs="Times New Roman"/>
        </w:rPr>
        <w:t xml:space="preserve">until a percentage of penalties is paid to those harmed, </w:t>
      </w:r>
      <w:r w:rsidR="00B87674">
        <w:rPr>
          <w:rFonts w:ascii="Times New Roman" w:hAnsi="Times New Roman" w:cs="Times New Roman"/>
        </w:rPr>
        <w:t xml:space="preserve">private causes of action are essential to </w:t>
      </w:r>
      <w:r w:rsidR="00997683">
        <w:rPr>
          <w:rFonts w:ascii="Times New Roman" w:hAnsi="Times New Roman" w:cs="Times New Roman"/>
        </w:rPr>
        <w:t xml:space="preserve">compensating </w:t>
      </w:r>
      <w:r w:rsidR="00412819">
        <w:rPr>
          <w:rFonts w:ascii="Times New Roman" w:hAnsi="Times New Roman" w:cs="Times New Roman"/>
        </w:rPr>
        <w:t xml:space="preserve">those harmed. </w:t>
      </w:r>
    </w:p>
    <w:p w14:paraId="126345D4" w14:textId="77777777" w:rsidR="00864C84" w:rsidRDefault="00CB2ECF" w:rsidP="00083D5B">
      <w:pPr>
        <w:rPr>
          <w:rFonts w:ascii="Times New Roman" w:hAnsi="Times New Roman" w:cs="Times New Roman"/>
        </w:rPr>
      </w:pPr>
      <w:r>
        <w:rPr>
          <w:rFonts w:ascii="Times New Roman" w:hAnsi="Times New Roman" w:cs="Times New Roman"/>
        </w:rPr>
        <w:t xml:space="preserve"> </w:t>
      </w:r>
    </w:p>
    <w:p w14:paraId="057A9290" w14:textId="7EB5BB4F" w:rsidR="00083D5B" w:rsidRPr="00044C30" w:rsidRDefault="00412819" w:rsidP="00BB539C">
      <w:pPr>
        <w:rPr>
          <w:rFonts w:ascii="Times New Roman" w:hAnsi="Times New Roman" w:cs="Times New Roman"/>
        </w:rPr>
      </w:pPr>
      <w:r>
        <w:rPr>
          <w:rFonts w:ascii="Times New Roman" w:hAnsi="Times New Roman" w:cs="Times New Roman"/>
        </w:rPr>
        <w:t>Under</w:t>
      </w:r>
      <w:r w:rsidR="00B87674">
        <w:rPr>
          <w:rFonts w:ascii="Times New Roman" w:hAnsi="Times New Roman" w:cs="Times New Roman"/>
        </w:rPr>
        <w:t xml:space="preserve"> HIPAA,</w:t>
      </w:r>
      <w:r w:rsidR="00083D5B" w:rsidRPr="00044C30">
        <w:rPr>
          <w:rFonts w:ascii="Times New Roman" w:hAnsi="Times New Roman" w:cs="Times New Roman"/>
        </w:rPr>
        <w:t xml:space="preserve"> there is no private cause of action that would allow an individual to sue for a </w:t>
      </w:r>
      <w:r w:rsidR="00B87674">
        <w:rPr>
          <w:rFonts w:ascii="Times New Roman" w:hAnsi="Times New Roman" w:cs="Times New Roman"/>
        </w:rPr>
        <w:t xml:space="preserve">violation. As demonstrated, individuals are instead required to file complaints through the OCR. </w:t>
      </w:r>
      <w:r w:rsidR="005827C5">
        <w:rPr>
          <w:rFonts w:ascii="Times New Roman" w:hAnsi="Times New Roman" w:cs="Times New Roman"/>
        </w:rPr>
        <w:t>From the patient perspective, this</w:t>
      </w:r>
      <w:r w:rsidR="00B87674">
        <w:rPr>
          <w:rFonts w:ascii="Times New Roman" w:hAnsi="Times New Roman" w:cs="Times New Roman"/>
        </w:rPr>
        <w:t xml:space="preserve"> process is flawed, not only because of the </w:t>
      </w:r>
      <w:r w:rsidR="00D07829">
        <w:rPr>
          <w:rFonts w:ascii="Times New Roman" w:hAnsi="Times New Roman" w:cs="Times New Roman"/>
        </w:rPr>
        <w:t xml:space="preserve">lack of a </w:t>
      </w:r>
      <w:r w:rsidR="00B87674">
        <w:rPr>
          <w:rFonts w:ascii="Times New Roman" w:hAnsi="Times New Roman" w:cs="Times New Roman"/>
        </w:rPr>
        <w:t xml:space="preserve">penalty structure, but </w:t>
      </w:r>
      <w:r w:rsidR="00BB539C">
        <w:rPr>
          <w:rFonts w:ascii="Times New Roman" w:hAnsi="Times New Roman" w:cs="Times New Roman"/>
        </w:rPr>
        <w:t xml:space="preserve">also because the law permits many disclosures and can protect those who have violated HIPAA. If a </w:t>
      </w:r>
      <w:r w:rsidR="00137028" w:rsidRPr="00044C30">
        <w:rPr>
          <w:rFonts w:ascii="Times New Roman" w:hAnsi="Times New Roman" w:cs="Times New Roman"/>
        </w:rPr>
        <w:t>p</w:t>
      </w:r>
      <w:r w:rsidR="005827C5">
        <w:rPr>
          <w:rFonts w:ascii="Times New Roman" w:hAnsi="Times New Roman" w:cs="Times New Roman"/>
        </w:rPr>
        <w:t xml:space="preserve">atient </w:t>
      </w:r>
      <w:r w:rsidR="00137028" w:rsidRPr="00044C30">
        <w:rPr>
          <w:rFonts w:ascii="Times New Roman" w:hAnsi="Times New Roman" w:cs="Times New Roman"/>
        </w:rPr>
        <w:t>can overcome the burden of establishing</w:t>
      </w:r>
      <w:r w:rsidR="00C80ED2">
        <w:rPr>
          <w:rFonts w:ascii="Times New Roman" w:hAnsi="Times New Roman" w:cs="Times New Roman"/>
        </w:rPr>
        <w:t xml:space="preserve"> that</w:t>
      </w:r>
      <w:r w:rsidR="00137028" w:rsidRPr="00044C30">
        <w:rPr>
          <w:rFonts w:ascii="Times New Roman" w:hAnsi="Times New Roman" w:cs="Times New Roman"/>
        </w:rPr>
        <w:t xml:space="preserve"> a violation of HIPAA occurred</w:t>
      </w:r>
      <w:r w:rsidR="00083D5B" w:rsidRPr="00044C30">
        <w:rPr>
          <w:rFonts w:ascii="Times New Roman" w:hAnsi="Times New Roman" w:cs="Times New Roman"/>
        </w:rPr>
        <w:t xml:space="preserve">, there are laws and rules in place that make it nearly impossible to find legal recourse </w:t>
      </w:r>
      <w:r w:rsidR="00137028" w:rsidRPr="00044C30">
        <w:rPr>
          <w:rFonts w:ascii="Times New Roman" w:hAnsi="Times New Roman" w:cs="Times New Roman"/>
        </w:rPr>
        <w:t>for a HIPAA violation</w:t>
      </w:r>
      <w:r w:rsidR="00083D5B" w:rsidRPr="00044C30">
        <w:rPr>
          <w:rFonts w:ascii="Times New Roman" w:hAnsi="Times New Roman" w:cs="Times New Roman"/>
        </w:rPr>
        <w:t>. For example, if neglect of HIPAA laws results in a violation of HIPAA, but the neglect was not willful and was corrected within 30 days, the OCR cannot enforce a civil penalty</w:t>
      </w:r>
      <w:r w:rsidR="00D07829">
        <w:rPr>
          <w:rFonts w:ascii="Times New Roman" w:hAnsi="Times New Roman" w:cs="Times New Roman"/>
        </w:rPr>
        <w:t xml:space="preserve">. As a result, the patient will </w:t>
      </w:r>
      <w:r w:rsidR="00805CB3">
        <w:rPr>
          <w:rFonts w:ascii="Times New Roman" w:hAnsi="Times New Roman" w:cs="Times New Roman"/>
        </w:rPr>
        <w:t>not receive any redress</w:t>
      </w:r>
      <w:r w:rsidR="00D07829">
        <w:rPr>
          <w:rFonts w:ascii="Times New Roman" w:hAnsi="Times New Roman" w:cs="Times New Roman"/>
        </w:rPr>
        <w:t xml:space="preserve">. </w:t>
      </w:r>
      <w:r w:rsidR="00BB539C">
        <w:rPr>
          <w:rFonts w:ascii="Times New Roman" w:hAnsi="Times New Roman" w:cs="Times New Roman"/>
        </w:rPr>
        <w:t>Nevertheless, there are</w:t>
      </w:r>
      <w:r w:rsidR="00083D5B" w:rsidRPr="00044C30">
        <w:rPr>
          <w:rFonts w:ascii="Times New Roman" w:hAnsi="Times New Roman" w:cs="Times New Roman"/>
        </w:rPr>
        <w:t xml:space="preserve"> a small number of states </w:t>
      </w:r>
      <w:r w:rsidR="00BB539C">
        <w:rPr>
          <w:rFonts w:ascii="Times New Roman" w:hAnsi="Times New Roman" w:cs="Times New Roman"/>
        </w:rPr>
        <w:t>in which law</w:t>
      </w:r>
      <w:r w:rsidR="00083D5B" w:rsidRPr="00044C30">
        <w:rPr>
          <w:rFonts w:ascii="Times New Roman" w:hAnsi="Times New Roman" w:cs="Times New Roman"/>
        </w:rPr>
        <w:t xml:space="preserve"> </w:t>
      </w:r>
      <w:r w:rsidR="00D07829">
        <w:rPr>
          <w:rFonts w:ascii="Times New Roman" w:hAnsi="Times New Roman" w:cs="Times New Roman"/>
        </w:rPr>
        <w:t>provides patients a right of action,</w:t>
      </w:r>
      <w:r w:rsidR="00083D5B" w:rsidRPr="00044C30">
        <w:rPr>
          <w:rFonts w:ascii="Times New Roman" w:hAnsi="Times New Roman" w:cs="Times New Roman"/>
        </w:rPr>
        <w:t xml:space="preserve"> and enhance</w:t>
      </w:r>
      <w:r w:rsidR="00BB539C">
        <w:rPr>
          <w:rFonts w:ascii="Times New Roman" w:hAnsi="Times New Roman" w:cs="Times New Roman"/>
        </w:rPr>
        <w:t>s</w:t>
      </w:r>
      <w:r w:rsidR="00083D5B" w:rsidRPr="00044C30">
        <w:rPr>
          <w:rFonts w:ascii="Times New Roman" w:hAnsi="Times New Roman" w:cs="Times New Roman"/>
        </w:rPr>
        <w:t xml:space="preserve"> penalties for violations of a patient’s privacy rights. The following is a list of </w:t>
      </w:r>
      <w:r w:rsidR="00700507">
        <w:rPr>
          <w:rFonts w:ascii="Times New Roman" w:hAnsi="Times New Roman" w:cs="Times New Roman"/>
        </w:rPr>
        <w:t xml:space="preserve">several </w:t>
      </w:r>
      <w:r w:rsidR="00083D5B" w:rsidRPr="00044C30">
        <w:rPr>
          <w:rFonts w:ascii="Times New Roman" w:hAnsi="Times New Roman" w:cs="Times New Roman"/>
        </w:rPr>
        <w:t>states with penalties for violations of patient privacy laws</w:t>
      </w:r>
      <w:r w:rsidR="00700507">
        <w:rPr>
          <w:rFonts w:ascii="Times New Roman" w:hAnsi="Times New Roman" w:cs="Times New Roman"/>
        </w:rPr>
        <w:t xml:space="preserve"> (note: this list is not exhaustive)</w:t>
      </w:r>
      <w:r w:rsidR="00083D5B" w:rsidRPr="00044C30">
        <w:rPr>
          <w:rFonts w:ascii="Times New Roman" w:hAnsi="Times New Roman" w:cs="Times New Roman"/>
        </w:rPr>
        <w:t xml:space="preserve">: </w:t>
      </w:r>
    </w:p>
    <w:p w14:paraId="4A5548CC" w14:textId="77777777" w:rsidR="00083D5B" w:rsidRPr="00044C30" w:rsidRDefault="00083D5B" w:rsidP="00083D5B">
      <w:pPr>
        <w:rPr>
          <w:rFonts w:ascii="Times New Roman" w:hAnsi="Times New Roman" w:cs="Times New Roman"/>
        </w:rPr>
      </w:pPr>
    </w:p>
    <w:p w14:paraId="44D69393"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California—Confidentiality of Medical Information Act (CMIA), Chapter 7 Violations</w:t>
      </w:r>
    </w:p>
    <w:p w14:paraId="76E84398" w14:textId="56C21595"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56.35 In addition to other remedies, a patient whose medical information has been used/disclosure in violation of §§ 56.10, 56.104, 56.20</w:t>
      </w:r>
      <w:r w:rsidR="00EC3AAF" w:rsidRPr="00044C30">
        <w:rPr>
          <w:rFonts w:ascii="Times New Roman" w:hAnsi="Times New Roman" w:cs="Times New Roman"/>
        </w:rPr>
        <w:t>, or</w:t>
      </w:r>
      <w:r w:rsidRPr="00044C30">
        <w:rPr>
          <w:rFonts w:ascii="Times New Roman" w:hAnsi="Times New Roman" w:cs="Times New Roman"/>
        </w:rPr>
        <w:t xml:space="preserve"> </w:t>
      </w:r>
      <w:r w:rsidR="00EC3AAF" w:rsidRPr="00044C30">
        <w:rPr>
          <w:rFonts w:ascii="Times New Roman" w:hAnsi="Times New Roman" w:cs="Times New Roman"/>
        </w:rPr>
        <w:t>56</w:t>
      </w:r>
      <w:r w:rsidRPr="00044C30">
        <w:rPr>
          <w:rFonts w:ascii="Times New Roman" w:hAnsi="Times New Roman" w:cs="Times New Roman"/>
        </w:rPr>
        <w:t>.26(a), and who has sustained personal injury or economic loss may rec</w:t>
      </w:r>
      <w:r w:rsidR="0049002A">
        <w:rPr>
          <w:rFonts w:ascii="Times New Roman" w:hAnsi="Times New Roman" w:cs="Times New Roman"/>
        </w:rPr>
        <w:t xml:space="preserve">over </w:t>
      </w:r>
      <w:r w:rsidRPr="00044C30">
        <w:rPr>
          <w:rFonts w:ascii="Times New Roman" w:hAnsi="Times New Roman" w:cs="Times New Roman"/>
        </w:rPr>
        <w:t>compensatory damages, punitive damages (not to exceed $3,000), attorney</w:t>
      </w:r>
      <w:r w:rsidR="00A248AE" w:rsidRPr="00044C30">
        <w:rPr>
          <w:rFonts w:ascii="Times New Roman" w:hAnsi="Times New Roman" w:cs="Times New Roman"/>
        </w:rPr>
        <w:t>’</w:t>
      </w:r>
      <w:r w:rsidRPr="00044C30">
        <w:rPr>
          <w:rFonts w:ascii="Times New Roman" w:hAnsi="Times New Roman" w:cs="Times New Roman"/>
        </w:rPr>
        <w:t>s fees (not to exceed $1,000), and cost of litigation</w:t>
      </w:r>
      <w:r w:rsidR="00A248AE" w:rsidRPr="00044C30">
        <w:rPr>
          <w:rFonts w:ascii="Times New Roman" w:hAnsi="Times New Roman" w:cs="Times New Roman"/>
        </w:rPr>
        <w:t xml:space="preserve">. </w:t>
      </w:r>
    </w:p>
    <w:p w14:paraId="47760C37" w14:textId="77777777" w:rsidR="009C78F4" w:rsidRPr="00044C30" w:rsidRDefault="00083D5B" w:rsidP="00143FB7">
      <w:pPr>
        <w:pStyle w:val="ListParagraph"/>
        <w:numPr>
          <w:ilvl w:val="1"/>
          <w:numId w:val="3"/>
        </w:numPr>
        <w:rPr>
          <w:rFonts w:ascii="Times New Roman" w:hAnsi="Times New Roman" w:cs="Times New Roman"/>
        </w:rPr>
      </w:pPr>
      <w:r w:rsidRPr="00044C30">
        <w:rPr>
          <w:rFonts w:ascii="Times New Roman" w:hAnsi="Times New Roman" w:cs="Times New Roman"/>
        </w:rPr>
        <w:t>§56.36(a) a violation that results in economic loss or personal inju</w:t>
      </w:r>
      <w:r w:rsidR="009C78F4" w:rsidRPr="00044C30">
        <w:rPr>
          <w:rFonts w:ascii="Times New Roman" w:hAnsi="Times New Roman" w:cs="Times New Roman"/>
        </w:rPr>
        <w:t xml:space="preserve">ry is punished as a misdemeanor, and </w:t>
      </w:r>
      <w:r w:rsidR="00143FB7" w:rsidRPr="00044C30">
        <w:rPr>
          <w:rFonts w:ascii="Times New Roman" w:hAnsi="Times New Roman" w:cs="Times New Roman"/>
        </w:rPr>
        <w:t xml:space="preserve">may result in monetary damages, as outlined in § 56.36 (b) and (c)  </w:t>
      </w:r>
    </w:p>
    <w:p w14:paraId="16BF6656"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lastRenderedPageBreak/>
        <w:t xml:space="preserve">§ 56.36 (b) an individual may bring action against a person or entity who has </w:t>
      </w:r>
      <w:r w:rsidRPr="00A04CEB">
        <w:rPr>
          <w:rFonts w:ascii="Times New Roman" w:hAnsi="Times New Roman" w:cs="Times New Roman"/>
          <w:b/>
          <w:i/>
        </w:rPr>
        <w:t>negligently</w:t>
      </w:r>
      <w:r w:rsidRPr="00A04CEB">
        <w:rPr>
          <w:rFonts w:ascii="Times New Roman" w:hAnsi="Times New Roman" w:cs="Times New Roman"/>
          <w:b/>
        </w:rPr>
        <w:t xml:space="preserve"> </w:t>
      </w:r>
      <w:r w:rsidRPr="00044C30">
        <w:rPr>
          <w:rFonts w:ascii="Times New Roman" w:hAnsi="Times New Roman" w:cs="Times New Roman"/>
        </w:rPr>
        <w:t xml:space="preserve">released confidential information or records of the person, for the following: </w:t>
      </w:r>
    </w:p>
    <w:p w14:paraId="47C5A83D" w14:textId="77777777" w:rsidR="00083D5B" w:rsidRPr="00044C30" w:rsidRDefault="009C78F4" w:rsidP="00083D5B">
      <w:pPr>
        <w:pStyle w:val="ListParagraph"/>
        <w:numPr>
          <w:ilvl w:val="2"/>
          <w:numId w:val="3"/>
        </w:numPr>
        <w:rPr>
          <w:rFonts w:ascii="Times New Roman" w:hAnsi="Times New Roman" w:cs="Times New Roman"/>
        </w:rPr>
      </w:pPr>
      <w:r w:rsidRPr="00044C30">
        <w:rPr>
          <w:rFonts w:ascii="Times New Roman" w:hAnsi="Times New Roman" w:cs="Times New Roman"/>
        </w:rPr>
        <w:t>Nominal damages ($1,000), in which it is</w:t>
      </w:r>
      <w:r w:rsidR="00083D5B" w:rsidRPr="00044C30">
        <w:rPr>
          <w:rFonts w:ascii="Times New Roman" w:hAnsi="Times New Roman" w:cs="Times New Roman"/>
        </w:rPr>
        <w:t xml:space="preserve"> not necessary that the plaintiff suffered or was threatened </w:t>
      </w:r>
      <w:r w:rsidRPr="00044C30">
        <w:rPr>
          <w:rFonts w:ascii="Times New Roman" w:hAnsi="Times New Roman" w:cs="Times New Roman"/>
        </w:rPr>
        <w:t>with actual damages; and/or</w:t>
      </w:r>
    </w:p>
    <w:p w14:paraId="04D41271"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Actual damages</w:t>
      </w:r>
    </w:p>
    <w:p w14:paraId="56D42A34"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 56.36 (c) A person or entity that </w:t>
      </w:r>
      <w:r w:rsidRPr="00044C30">
        <w:rPr>
          <w:rFonts w:ascii="Times New Roman" w:hAnsi="Times New Roman" w:cs="Times New Roman"/>
          <w:b/>
          <w:i/>
        </w:rPr>
        <w:t>negligently</w:t>
      </w:r>
      <w:r w:rsidRPr="00044C30">
        <w:rPr>
          <w:rFonts w:ascii="Times New Roman" w:hAnsi="Times New Roman" w:cs="Times New Roman"/>
          <w:i/>
        </w:rPr>
        <w:t xml:space="preserve"> </w:t>
      </w:r>
      <w:r w:rsidRPr="00044C30">
        <w:rPr>
          <w:rFonts w:ascii="Times New Roman" w:hAnsi="Times New Roman" w:cs="Times New Roman"/>
        </w:rPr>
        <w:t>discloses medical information shall also be liable, regardless of the amount of damages suffered, for an administrative fine or civil penalty (not to exceed $2,500 per violation)</w:t>
      </w:r>
      <w:r w:rsidR="00143FB7" w:rsidRPr="00044C30">
        <w:rPr>
          <w:rFonts w:ascii="Times New Roman" w:hAnsi="Times New Roman" w:cs="Times New Roman"/>
        </w:rPr>
        <w:t>.</w:t>
      </w:r>
    </w:p>
    <w:p w14:paraId="2463ECBA"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person or entity, other than a licensed health care professional, who </w:t>
      </w:r>
      <w:r w:rsidRPr="00044C30">
        <w:rPr>
          <w:rFonts w:ascii="Times New Roman" w:hAnsi="Times New Roman" w:cs="Times New Roman"/>
          <w:b/>
          <w:i/>
        </w:rPr>
        <w:t>knowingly and willfully</w:t>
      </w:r>
      <w:r w:rsidRPr="00044C30">
        <w:rPr>
          <w:rFonts w:ascii="Times New Roman" w:hAnsi="Times New Roman" w:cs="Times New Roman"/>
        </w:rPr>
        <w:t xml:space="preserve"> obtains, discloses, or uses medical i</w:t>
      </w:r>
      <w:r w:rsidR="00536AB2" w:rsidRPr="00044C30">
        <w:rPr>
          <w:rFonts w:ascii="Times New Roman" w:hAnsi="Times New Roman" w:cs="Times New Roman"/>
        </w:rPr>
        <w:t xml:space="preserve">nformation shall be liable for an administrative fine or civil penalty (not to exceed $25,000 per violation). </w:t>
      </w:r>
    </w:p>
    <w:p w14:paraId="287D5B43" w14:textId="77777777" w:rsidR="00536AB2" w:rsidRPr="00044C30" w:rsidRDefault="00536AB2"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licensed health care professional, who </w:t>
      </w:r>
      <w:r w:rsidRPr="00044C30">
        <w:rPr>
          <w:rFonts w:ascii="Times New Roman" w:hAnsi="Times New Roman" w:cs="Times New Roman"/>
          <w:b/>
          <w:i/>
        </w:rPr>
        <w:t>knowingly and willfully</w:t>
      </w:r>
      <w:r w:rsidRPr="00044C30">
        <w:rPr>
          <w:rFonts w:ascii="Times New Roman" w:hAnsi="Times New Roman" w:cs="Times New Roman"/>
        </w:rPr>
        <w:t xml:space="preserve"> obtains, discloses, or uses medical information shall be liable for:</w:t>
      </w:r>
    </w:p>
    <w:p w14:paraId="6C22DBF3"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t xml:space="preserve">First violation = administrative fine or civil penalty (not to exceed $2,500 per violation). </w:t>
      </w:r>
    </w:p>
    <w:p w14:paraId="105CE57A"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t>Second violation = administrative fine or civil penalty (not to exceed $10,00 per violation)</w:t>
      </w:r>
    </w:p>
    <w:p w14:paraId="56DC37E2"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t>Third and any subsequent violations = administrative fine or civil penalty (not to exceed $25,000 per violation)</w:t>
      </w:r>
    </w:p>
    <w:p w14:paraId="5958CCA4"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person or entity, other than a licensed health care professional, who knowingly or willfully obtains or uses medical information in violation of this part for the </w:t>
      </w:r>
      <w:r w:rsidRPr="00044C30">
        <w:rPr>
          <w:rFonts w:ascii="Times New Roman" w:hAnsi="Times New Roman" w:cs="Times New Roman"/>
          <w:b/>
          <w:i/>
        </w:rPr>
        <w:t>purpose of financial gain</w:t>
      </w:r>
      <w:r w:rsidRPr="00044C30">
        <w:rPr>
          <w:rFonts w:ascii="Times New Roman" w:hAnsi="Times New Roman" w:cs="Times New Roman"/>
        </w:rPr>
        <w:t xml:space="preserve"> shall be liable for an administrative fine or civil penalty (not to exceed $250,000 per violation) and shall be subject to disgorgement of any proceeds/considerations obtained as a result of the violation. </w:t>
      </w:r>
    </w:p>
    <w:p w14:paraId="3EAF8CDD"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licensed health care professional who knowingly and willfully obtains, discloses, or uses medical information in violation of this part </w:t>
      </w:r>
      <w:r w:rsidRPr="00044C30">
        <w:rPr>
          <w:rFonts w:ascii="Times New Roman" w:hAnsi="Times New Roman" w:cs="Times New Roman"/>
          <w:b/>
          <w:i/>
        </w:rPr>
        <w:t xml:space="preserve">for financial gain </w:t>
      </w:r>
      <w:r w:rsidRPr="00044C30">
        <w:rPr>
          <w:rFonts w:ascii="Times New Roman" w:hAnsi="Times New Roman" w:cs="Times New Roman"/>
        </w:rPr>
        <w:t>shall be liable for</w:t>
      </w:r>
      <w:r w:rsidR="00593F3F" w:rsidRPr="00044C30">
        <w:rPr>
          <w:rFonts w:ascii="Times New Roman" w:hAnsi="Times New Roman" w:cs="Times New Roman"/>
        </w:rPr>
        <w:t xml:space="preserve"> the following, as well as disgorgement of any proceeds or consideration obtained as a result of the violation:</w:t>
      </w:r>
    </w:p>
    <w:p w14:paraId="6FBBD997"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t>First violation = administrative fine or civil penalty (not to exceed $5,000 per violation)</w:t>
      </w:r>
    </w:p>
    <w:p w14:paraId="149777DC"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t>Second violation = administrative fine or civil penalty (not to exceed $25,000 per violation)</w:t>
      </w:r>
    </w:p>
    <w:p w14:paraId="11DDEC18" w14:textId="77777777" w:rsidR="00083D5B" w:rsidRPr="00044C30" w:rsidRDefault="00083D5B" w:rsidP="00083D5B">
      <w:pPr>
        <w:pStyle w:val="ListParagraph"/>
        <w:numPr>
          <w:ilvl w:val="3"/>
          <w:numId w:val="3"/>
        </w:numPr>
        <w:rPr>
          <w:rFonts w:ascii="Times New Roman" w:hAnsi="Times New Roman" w:cs="Times New Roman"/>
        </w:rPr>
      </w:pPr>
      <w:r w:rsidRPr="00044C30">
        <w:rPr>
          <w:rFonts w:ascii="Times New Roman" w:hAnsi="Times New Roman" w:cs="Times New Roman"/>
        </w:rPr>
        <w:lastRenderedPageBreak/>
        <w:t>Third and any subsequent violation = administrative fine or civil penalty (not to exceed $250,000 per violation) and shall also be subject to disgorgement of any proceeds or other consideration obtained as a result of the violation.</w:t>
      </w:r>
    </w:p>
    <w:p w14:paraId="09B71EE7" w14:textId="77777777" w:rsidR="00B31AB5" w:rsidRPr="00044C30" w:rsidRDefault="00B31AB5"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person or entity, other than a licensed health care professional, who knowingly or willfully obtains or uses medical information in violation of this part </w:t>
      </w:r>
      <w:r w:rsidRPr="00044C30">
        <w:rPr>
          <w:rFonts w:ascii="Times New Roman" w:hAnsi="Times New Roman" w:cs="Times New Roman"/>
          <w:b/>
          <w:i/>
        </w:rPr>
        <w:t>for the purpose of financial gain</w:t>
      </w:r>
      <w:r w:rsidRPr="00044C30">
        <w:rPr>
          <w:rFonts w:ascii="Times New Roman" w:hAnsi="Times New Roman" w:cs="Times New Roman"/>
        </w:rPr>
        <w:t xml:space="preserve"> shall be liable for an administrative fine or civil penalty </w:t>
      </w:r>
      <w:r w:rsidR="0032553A" w:rsidRPr="00044C30">
        <w:rPr>
          <w:rFonts w:ascii="Times New Roman" w:hAnsi="Times New Roman" w:cs="Times New Roman"/>
        </w:rPr>
        <w:t>(</w:t>
      </w:r>
      <w:r w:rsidRPr="00044C30">
        <w:rPr>
          <w:rFonts w:ascii="Times New Roman" w:hAnsi="Times New Roman" w:cs="Times New Roman"/>
        </w:rPr>
        <w:t xml:space="preserve">not to exceed </w:t>
      </w:r>
      <w:r w:rsidR="0032553A" w:rsidRPr="00044C30">
        <w:rPr>
          <w:rFonts w:ascii="Times New Roman" w:hAnsi="Times New Roman" w:cs="Times New Roman"/>
        </w:rPr>
        <w:t xml:space="preserve">$250,000 per violation) </w:t>
      </w:r>
      <w:r w:rsidRPr="00044C30">
        <w:rPr>
          <w:rFonts w:ascii="Times New Roman" w:hAnsi="Times New Roman" w:cs="Times New Roman"/>
        </w:rPr>
        <w:t>and shall also be subject to disgorgement of any proceeds or other consideration obtained as a result of the violation.</w:t>
      </w:r>
    </w:p>
    <w:p w14:paraId="512930A6"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 person or entity </w:t>
      </w:r>
      <w:r w:rsidRPr="00044C30">
        <w:rPr>
          <w:rFonts w:ascii="Times New Roman" w:hAnsi="Times New Roman" w:cs="Times New Roman"/>
          <w:b/>
          <w:i/>
        </w:rPr>
        <w:t>who is not permitted to receive medical information</w:t>
      </w:r>
      <w:r w:rsidRPr="00044C30">
        <w:rPr>
          <w:rFonts w:ascii="Times New Roman" w:hAnsi="Times New Roman" w:cs="Times New Roman"/>
        </w:rPr>
        <w:t xml:space="preserve"> pursuant to this part and who</w:t>
      </w:r>
      <w:r w:rsidRPr="00044C30">
        <w:rPr>
          <w:rFonts w:ascii="Times New Roman" w:hAnsi="Times New Roman" w:cs="Times New Roman"/>
          <w:i/>
        </w:rPr>
        <w:t xml:space="preserve"> </w:t>
      </w:r>
      <w:r w:rsidRPr="00044C30">
        <w:rPr>
          <w:rFonts w:ascii="Times New Roman" w:hAnsi="Times New Roman" w:cs="Times New Roman"/>
        </w:rPr>
        <w:t>knowingly and willfully</w:t>
      </w:r>
      <w:r w:rsidRPr="00044C30">
        <w:rPr>
          <w:rFonts w:ascii="Times New Roman" w:hAnsi="Times New Roman" w:cs="Times New Roman"/>
          <w:i/>
        </w:rPr>
        <w:t xml:space="preserve"> </w:t>
      </w:r>
      <w:r w:rsidRPr="00044C30">
        <w:rPr>
          <w:rFonts w:ascii="Times New Roman" w:hAnsi="Times New Roman" w:cs="Times New Roman"/>
        </w:rPr>
        <w:t xml:space="preserve">obtains, discloses, or uses medical information without written authorization from the patient shall be liable for a civil penalty </w:t>
      </w:r>
      <w:r w:rsidR="00526D8B" w:rsidRPr="00044C30">
        <w:rPr>
          <w:rFonts w:ascii="Times New Roman" w:hAnsi="Times New Roman" w:cs="Times New Roman"/>
        </w:rPr>
        <w:t>(</w:t>
      </w:r>
      <w:r w:rsidRPr="00044C30">
        <w:rPr>
          <w:rFonts w:ascii="Times New Roman" w:hAnsi="Times New Roman" w:cs="Times New Roman"/>
        </w:rPr>
        <w:t>not to exceed $250,000 per violation</w:t>
      </w:r>
      <w:r w:rsidR="00526D8B" w:rsidRPr="00044C30">
        <w:rPr>
          <w:rFonts w:ascii="Times New Roman" w:hAnsi="Times New Roman" w:cs="Times New Roman"/>
        </w:rPr>
        <w:t>)</w:t>
      </w:r>
      <w:r w:rsidRPr="00044C30">
        <w:rPr>
          <w:rFonts w:ascii="Times New Roman" w:hAnsi="Times New Roman" w:cs="Times New Roman"/>
        </w:rPr>
        <w:t>.</w:t>
      </w:r>
    </w:p>
    <w:p w14:paraId="343C3B01" w14:textId="5BB9049D"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The California State Department of Public Health, licensing agency, or cer</w:t>
      </w:r>
      <w:r w:rsidR="00F64881">
        <w:rPr>
          <w:rFonts w:ascii="Times New Roman" w:hAnsi="Times New Roman" w:cs="Times New Roman"/>
        </w:rPr>
        <w:t xml:space="preserve">tifying board or court determines </w:t>
      </w:r>
      <w:r w:rsidRPr="00044C30">
        <w:rPr>
          <w:rFonts w:ascii="Times New Roman" w:hAnsi="Times New Roman" w:cs="Times New Roman"/>
        </w:rPr>
        <w:t>the amount of an admini</w:t>
      </w:r>
      <w:r w:rsidR="00F64881">
        <w:rPr>
          <w:rFonts w:ascii="Times New Roman" w:hAnsi="Times New Roman" w:cs="Times New Roman"/>
        </w:rPr>
        <w:t>strative fine or civil penalty by assessing the</w:t>
      </w:r>
      <w:r w:rsidRPr="00044C30">
        <w:rPr>
          <w:rFonts w:ascii="Times New Roman" w:hAnsi="Times New Roman" w:cs="Times New Roman"/>
        </w:rPr>
        <w:t xml:space="preserve"> following:</w:t>
      </w:r>
    </w:p>
    <w:p w14:paraId="05B06205"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Whether the defendant has made reasonable, good faith attempt to comply with this part; </w:t>
      </w:r>
    </w:p>
    <w:p w14:paraId="5AAD0653"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nature and seriousness of the misconduct; </w:t>
      </w:r>
    </w:p>
    <w:p w14:paraId="3AD873F2"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harm to the patient, enrollee, or subscriber; </w:t>
      </w:r>
    </w:p>
    <w:p w14:paraId="1CE4E3EE"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number of violations; </w:t>
      </w:r>
    </w:p>
    <w:p w14:paraId="1408F336"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persistence of the misconduct; </w:t>
      </w:r>
    </w:p>
    <w:p w14:paraId="3667189D"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length of time over which the misconduct occurred; </w:t>
      </w:r>
    </w:p>
    <w:p w14:paraId="2C280924"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The willfulness of the misconduct; and</w:t>
      </w:r>
    </w:p>
    <w:p w14:paraId="16F37635"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The defendant’s assets, liabilities, and net worth.</w:t>
      </w:r>
    </w:p>
    <w:p w14:paraId="150A97B6" w14:textId="77777777" w:rsidR="0069415A" w:rsidRPr="00044C30" w:rsidRDefault="0069415A" w:rsidP="0069415A">
      <w:pPr>
        <w:pStyle w:val="ListParagraph"/>
        <w:numPr>
          <w:ilvl w:val="1"/>
          <w:numId w:val="3"/>
        </w:numPr>
        <w:rPr>
          <w:rFonts w:ascii="Times New Roman" w:hAnsi="Times New Roman" w:cs="Times New Roman"/>
        </w:rPr>
      </w:pPr>
      <w:r w:rsidRPr="00044C30">
        <w:rPr>
          <w:rFonts w:ascii="Times New Roman" w:hAnsi="Times New Roman" w:cs="Times New Roman"/>
        </w:rPr>
        <w:t>§ 56.36 (e) Defendants are entitled to an affirmative defense</w:t>
      </w:r>
      <w:r w:rsidR="00290A5C" w:rsidRPr="00044C30">
        <w:rPr>
          <w:rFonts w:ascii="Times New Roman" w:hAnsi="Times New Roman" w:cs="Times New Roman"/>
        </w:rPr>
        <w:t xml:space="preserve">, so long as they establish: </w:t>
      </w:r>
    </w:p>
    <w:p w14:paraId="526AED65"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defendant is a covered entity or business associate; </w:t>
      </w:r>
    </w:p>
    <w:p w14:paraId="6B221215"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defendant has complied with any obligations to notify all persons entitled to receive notice regarding the release of information or records; </w:t>
      </w:r>
    </w:p>
    <w:p w14:paraId="151C9A08"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release of confidential information or records was solely to another covered entity or business associate; </w:t>
      </w:r>
    </w:p>
    <w:p w14:paraId="054DD5B0"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release of confidential information or records was not an incident of medical identity theft; </w:t>
      </w:r>
    </w:p>
    <w:p w14:paraId="160B7DEF"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lastRenderedPageBreak/>
        <w:t xml:space="preserve">The defendant took appropriate preventative actions to protect the confidential information or records against release consistent with the defendant’s obligations under state law and HIPAA; </w:t>
      </w:r>
    </w:p>
    <w:p w14:paraId="51EAE7C1"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defendant took reasonable and appropriate corrective action after the release of confidential information or records, and the covered entity or business associate that received the information or records destroyed or returned the information in the most expedient time possible and without unreasonable delay; </w:t>
      </w:r>
    </w:p>
    <w:p w14:paraId="3BC9BE37"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covered entity or business associate that received confidential information or records, or any of its agents, independent contractors, or employees, did not retain, use, or release the information or records; </w:t>
      </w:r>
    </w:p>
    <w:p w14:paraId="45931B6C"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 xml:space="preserve">After release of the confidential information or records, the defendant took reasonable and appropriate action to prevent a future similar release of confidential information or records; </w:t>
      </w:r>
    </w:p>
    <w:p w14:paraId="378FD71A" w14:textId="77777777" w:rsidR="00290A5C" w:rsidRPr="00044C30" w:rsidRDefault="00290A5C" w:rsidP="00290A5C">
      <w:pPr>
        <w:pStyle w:val="ListParagraph"/>
        <w:numPr>
          <w:ilvl w:val="2"/>
          <w:numId w:val="3"/>
        </w:numPr>
        <w:rPr>
          <w:rFonts w:ascii="Times New Roman" w:hAnsi="Times New Roman" w:cs="Times New Roman"/>
        </w:rPr>
      </w:pPr>
      <w:r w:rsidRPr="00044C30">
        <w:rPr>
          <w:rFonts w:ascii="Times New Roman" w:hAnsi="Times New Roman" w:cs="Times New Roman"/>
        </w:rPr>
        <w:t>The defendant has not previously est</w:t>
      </w:r>
      <w:r w:rsidR="00946D68" w:rsidRPr="00044C30">
        <w:rPr>
          <w:rFonts w:ascii="Times New Roman" w:hAnsi="Times New Roman" w:cs="Times New Roman"/>
        </w:rPr>
        <w:t xml:space="preserve">ablished an affirmative defense, or the court determines that the application of the affirmative defense is compelling and consistent with the purpose of this section to promote reasonable conduct in light of all the facts. </w:t>
      </w:r>
    </w:p>
    <w:p w14:paraId="243BC442" w14:textId="468ED470"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Civil penalties shall be assessed and recovered in a civil action brought in the name of the people of California in any court of competent jurisdiction by any of the following: Attorney General, District Attorney</w:t>
      </w:r>
      <w:r w:rsidR="00E211BD">
        <w:rPr>
          <w:rFonts w:ascii="Times New Roman" w:hAnsi="Times New Roman" w:cs="Times New Roman"/>
        </w:rPr>
        <w:t xml:space="preserve"> (DA)</w:t>
      </w:r>
      <w:r w:rsidRPr="00044C30">
        <w:rPr>
          <w:rFonts w:ascii="Times New Roman" w:hAnsi="Times New Roman" w:cs="Times New Roman"/>
        </w:rPr>
        <w:t>,</w:t>
      </w:r>
      <w:r w:rsidR="00E211BD">
        <w:rPr>
          <w:rFonts w:ascii="Times New Roman" w:hAnsi="Times New Roman" w:cs="Times New Roman"/>
        </w:rPr>
        <w:t xml:space="preserve"> county counsel authorized by DA,</w:t>
      </w:r>
      <w:r w:rsidRPr="00044C30">
        <w:rPr>
          <w:rFonts w:ascii="Times New Roman" w:hAnsi="Times New Roman" w:cs="Times New Roman"/>
        </w:rPr>
        <w:t xml:space="preserve"> city attorney, city attorney in a city of 750,000 or more with the consent of the DA, city prosecutor with consent of the DA.</w:t>
      </w:r>
    </w:p>
    <w:p w14:paraId="23E4DA37"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The State Public Health Officer or his/her designees may recommend that one of the above mentioned people bring a civil action. </w:t>
      </w:r>
    </w:p>
    <w:p w14:paraId="1D943956"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Delaware—like many states</w:t>
      </w:r>
      <w:r w:rsidR="001F7E1F" w:rsidRPr="00044C30">
        <w:rPr>
          <w:rFonts w:ascii="Times New Roman" w:hAnsi="Times New Roman" w:cs="Times New Roman"/>
        </w:rPr>
        <w:t>, Delaware</w:t>
      </w:r>
      <w:r w:rsidRPr="00044C30">
        <w:rPr>
          <w:rFonts w:ascii="Times New Roman" w:hAnsi="Times New Roman" w:cs="Times New Roman"/>
        </w:rPr>
        <w:t xml:space="preserve"> does not have laws concerning the wrongful disclosure of a patient’s medical records or information. Instead, patients harmed by a wrongful disclosure would need to bring their own lawsuit. </w:t>
      </w:r>
      <w:r w:rsidR="00463E99" w:rsidRPr="00044C30">
        <w:rPr>
          <w:rFonts w:ascii="Times New Roman" w:hAnsi="Times New Roman" w:cs="Times New Roman"/>
        </w:rPr>
        <w:t xml:space="preserve">Whether a plaintiff can bring a lawsuit will </w:t>
      </w:r>
      <w:r w:rsidRPr="00044C30">
        <w:rPr>
          <w:rFonts w:ascii="Times New Roman" w:hAnsi="Times New Roman" w:cs="Times New Roman"/>
        </w:rPr>
        <w:t>depend on the facts of the</w:t>
      </w:r>
      <w:r w:rsidR="00463E99" w:rsidRPr="00044C30">
        <w:rPr>
          <w:rFonts w:ascii="Times New Roman" w:hAnsi="Times New Roman" w:cs="Times New Roman"/>
        </w:rPr>
        <w:t xml:space="preserve"> case, state laws, and case law.</w:t>
      </w:r>
      <w:r w:rsidRPr="00044C30">
        <w:rPr>
          <w:rFonts w:ascii="Times New Roman" w:hAnsi="Times New Roman" w:cs="Times New Roman"/>
        </w:rPr>
        <w:t xml:space="preserve"> For example, there are some states that do not acknowledge the tort of invasion of privacy based on unreasonable public disclosure of private fact.</w:t>
      </w:r>
      <w:r w:rsidRPr="00044C30">
        <w:rPr>
          <w:rStyle w:val="FootnoteReference"/>
          <w:rFonts w:ascii="Times New Roman" w:hAnsi="Times New Roman" w:cs="Times New Roman"/>
        </w:rPr>
        <w:footnoteReference w:id="23"/>
      </w:r>
      <w:r w:rsidR="00463E99" w:rsidRPr="00044C30">
        <w:rPr>
          <w:rFonts w:ascii="Times New Roman" w:hAnsi="Times New Roman" w:cs="Times New Roman"/>
        </w:rPr>
        <w:t xml:space="preserve"> Absent state law prohibiting</w:t>
      </w:r>
      <w:r w:rsidR="00CE5CCB" w:rsidRPr="00044C30">
        <w:rPr>
          <w:rFonts w:ascii="Times New Roman" w:hAnsi="Times New Roman" w:cs="Times New Roman"/>
        </w:rPr>
        <w:t xml:space="preserve"> such</w:t>
      </w:r>
      <w:r w:rsidR="00463E99" w:rsidRPr="00044C30">
        <w:rPr>
          <w:rFonts w:ascii="Times New Roman" w:hAnsi="Times New Roman" w:cs="Times New Roman"/>
        </w:rPr>
        <w:t xml:space="preserve"> </w:t>
      </w:r>
      <w:r w:rsidR="001F7E1F" w:rsidRPr="00044C30">
        <w:rPr>
          <w:rFonts w:ascii="Times New Roman" w:hAnsi="Times New Roman" w:cs="Times New Roman"/>
        </w:rPr>
        <w:t xml:space="preserve">legal </w:t>
      </w:r>
      <w:r w:rsidR="00463E99" w:rsidRPr="00044C30">
        <w:rPr>
          <w:rFonts w:ascii="Times New Roman" w:hAnsi="Times New Roman" w:cs="Times New Roman"/>
        </w:rPr>
        <w:t xml:space="preserve">action, there </w:t>
      </w:r>
      <w:r w:rsidR="001F7E1F" w:rsidRPr="00044C30">
        <w:rPr>
          <w:rFonts w:ascii="Times New Roman" w:hAnsi="Times New Roman" w:cs="Times New Roman"/>
        </w:rPr>
        <w:t>are some possible legal claims available, which will depend</w:t>
      </w:r>
      <w:r w:rsidR="00463E99" w:rsidRPr="00044C30">
        <w:rPr>
          <w:rFonts w:ascii="Times New Roman" w:hAnsi="Times New Roman" w:cs="Times New Roman"/>
        </w:rPr>
        <w:t xml:space="preserve"> on case facts</w:t>
      </w:r>
      <w:r w:rsidR="001F7E1F" w:rsidRPr="00044C30">
        <w:rPr>
          <w:rFonts w:ascii="Times New Roman" w:hAnsi="Times New Roman" w:cs="Times New Roman"/>
        </w:rPr>
        <w:t xml:space="preserve"> and often the statute of limitations.</w:t>
      </w:r>
      <w:r w:rsidR="00CE5CCB" w:rsidRPr="00044C30">
        <w:rPr>
          <w:rFonts w:ascii="Times New Roman" w:hAnsi="Times New Roman" w:cs="Times New Roman"/>
        </w:rPr>
        <w:t xml:space="preserve"> T</w:t>
      </w:r>
      <w:r w:rsidR="00463E99" w:rsidRPr="00044C30">
        <w:rPr>
          <w:rFonts w:ascii="Times New Roman" w:hAnsi="Times New Roman" w:cs="Times New Roman"/>
        </w:rPr>
        <w:t>hese</w:t>
      </w:r>
      <w:r w:rsidR="00CE5CCB" w:rsidRPr="00044C30">
        <w:rPr>
          <w:rFonts w:ascii="Times New Roman" w:hAnsi="Times New Roman" w:cs="Times New Roman"/>
        </w:rPr>
        <w:t xml:space="preserve"> claims may</w:t>
      </w:r>
      <w:r w:rsidR="00463E99" w:rsidRPr="00044C30">
        <w:rPr>
          <w:rFonts w:ascii="Times New Roman" w:hAnsi="Times New Roman" w:cs="Times New Roman"/>
        </w:rPr>
        <w:t xml:space="preserve"> </w:t>
      </w:r>
      <w:r w:rsidRPr="00044C30">
        <w:rPr>
          <w:rFonts w:ascii="Times New Roman" w:hAnsi="Times New Roman" w:cs="Times New Roman"/>
        </w:rPr>
        <w:t>include</w:t>
      </w:r>
      <w:r w:rsidR="00B175CB" w:rsidRPr="00044C30">
        <w:rPr>
          <w:rFonts w:ascii="Times New Roman" w:hAnsi="Times New Roman" w:cs="Times New Roman"/>
        </w:rPr>
        <w:t xml:space="preserve">, but </w:t>
      </w:r>
      <w:r w:rsidR="00CE5CCB" w:rsidRPr="00044C30">
        <w:rPr>
          <w:rFonts w:ascii="Times New Roman" w:hAnsi="Times New Roman" w:cs="Times New Roman"/>
        </w:rPr>
        <w:t>are</w:t>
      </w:r>
      <w:r w:rsidR="00B175CB" w:rsidRPr="00044C30">
        <w:rPr>
          <w:rFonts w:ascii="Times New Roman" w:hAnsi="Times New Roman" w:cs="Times New Roman"/>
        </w:rPr>
        <w:t xml:space="preserve"> not limited to</w:t>
      </w:r>
      <w:r w:rsidRPr="00044C30">
        <w:rPr>
          <w:rFonts w:ascii="Times New Roman" w:hAnsi="Times New Roman" w:cs="Times New Roman"/>
        </w:rPr>
        <w:t>:</w:t>
      </w:r>
    </w:p>
    <w:p w14:paraId="5A686B69"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Tort of invasion of privacy;</w:t>
      </w:r>
    </w:p>
    <w:p w14:paraId="72ED8CCF"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lastRenderedPageBreak/>
        <w:t>Unreasonable public disclosure of private facts</w:t>
      </w:r>
    </w:p>
    <w:p w14:paraId="1E3FD018"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Intrusion upon physical solitude or seclusion</w:t>
      </w:r>
    </w:p>
    <w:p w14:paraId="111EFBF8"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Wrongful appropriation of a person’s name or likeness</w:t>
      </w:r>
    </w:p>
    <w:p w14:paraId="6CB50500"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Publicity that unreasonably places a person in a false light before the public</w:t>
      </w:r>
    </w:p>
    <w:p w14:paraId="778DBBC5"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Medical malpractice, breach of confidential relationship, or breach of (implied) contract;</w:t>
      </w:r>
    </w:p>
    <w:p w14:paraId="13696EA1"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Defamation</w:t>
      </w:r>
      <w:r w:rsidR="00B175CB" w:rsidRPr="00044C30">
        <w:rPr>
          <w:rFonts w:ascii="Times New Roman" w:hAnsi="Times New Roman" w:cs="Times New Roman"/>
        </w:rPr>
        <w:t>;</w:t>
      </w:r>
    </w:p>
    <w:p w14:paraId="4EC5C5EB" w14:textId="77777777" w:rsidR="00B175CB" w:rsidRPr="00044C30" w:rsidRDefault="00B175CB" w:rsidP="00B175CB">
      <w:pPr>
        <w:pStyle w:val="ListParagraph"/>
        <w:numPr>
          <w:ilvl w:val="2"/>
          <w:numId w:val="3"/>
        </w:numPr>
        <w:rPr>
          <w:rFonts w:ascii="Times New Roman" w:hAnsi="Times New Roman" w:cs="Times New Roman"/>
        </w:rPr>
      </w:pPr>
      <w:r w:rsidRPr="00044C30">
        <w:rPr>
          <w:rFonts w:ascii="Times New Roman" w:hAnsi="Times New Roman" w:cs="Times New Roman"/>
        </w:rPr>
        <w:t>Slander—spoken defamation</w:t>
      </w:r>
    </w:p>
    <w:p w14:paraId="1446A164" w14:textId="77777777" w:rsidR="00B175CB" w:rsidRPr="00044C30" w:rsidRDefault="00B175CB" w:rsidP="00B175CB">
      <w:pPr>
        <w:pStyle w:val="ListParagraph"/>
        <w:numPr>
          <w:ilvl w:val="2"/>
          <w:numId w:val="3"/>
        </w:numPr>
        <w:rPr>
          <w:rFonts w:ascii="Times New Roman" w:hAnsi="Times New Roman" w:cs="Times New Roman"/>
        </w:rPr>
      </w:pPr>
      <w:r w:rsidRPr="00044C30">
        <w:rPr>
          <w:rFonts w:ascii="Times New Roman" w:hAnsi="Times New Roman" w:cs="Times New Roman"/>
        </w:rPr>
        <w:t>Libel—printed defamation</w:t>
      </w:r>
    </w:p>
    <w:p w14:paraId="74AA24B5"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Negligence</w:t>
      </w:r>
      <w:r w:rsidR="00B175CB" w:rsidRPr="00044C30">
        <w:rPr>
          <w:rFonts w:ascii="Times New Roman" w:hAnsi="Times New Roman" w:cs="Times New Roman"/>
        </w:rPr>
        <w:t>; or</w:t>
      </w:r>
    </w:p>
    <w:p w14:paraId="3E4F3A7A"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Intentional Infliction of Emotional Distress</w:t>
      </w:r>
      <w:r w:rsidR="00B175CB" w:rsidRPr="00044C30">
        <w:rPr>
          <w:rFonts w:ascii="Times New Roman" w:hAnsi="Times New Roman" w:cs="Times New Roman"/>
        </w:rPr>
        <w:t>.</w:t>
      </w:r>
    </w:p>
    <w:p w14:paraId="00832494"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Florida—there is also no law in Florida that provides the ability to sue for a violation of HIPAA or related state laws. In addition to filing one of the above described lawsuits, </w:t>
      </w:r>
      <w:r w:rsidR="00B00818" w:rsidRPr="00044C30">
        <w:rPr>
          <w:rFonts w:ascii="Times New Roman" w:hAnsi="Times New Roman" w:cs="Times New Roman"/>
        </w:rPr>
        <w:t xml:space="preserve">under §456.057, Florida does allow for violators to be disciplined.   </w:t>
      </w:r>
    </w:p>
    <w:p w14:paraId="421EF577" w14:textId="61135842"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under § 456.057 paragraph 7(a)</w:t>
      </w:r>
      <w:r w:rsidR="00731341">
        <w:rPr>
          <w:rFonts w:ascii="Times New Roman" w:hAnsi="Times New Roman" w:cs="Times New Roman"/>
        </w:rPr>
        <w:t>,</w:t>
      </w:r>
      <w:r w:rsidRPr="00044C30">
        <w:rPr>
          <w:rFonts w:ascii="Times New Roman" w:hAnsi="Times New Roman" w:cs="Times New Roman"/>
        </w:rPr>
        <w:t xml:space="preserve"> records may not be furnished to any person other than the patient, their legal representative, or other health care practitioners/providers involved in the patient’s care or treatment, unless the patient provides written authorization. </w:t>
      </w:r>
    </w:p>
    <w:p w14:paraId="38BBBCCF" w14:textId="5161C841" w:rsidR="00083D5B" w:rsidRPr="00044C30" w:rsidRDefault="00731341" w:rsidP="00083D5B">
      <w:pPr>
        <w:pStyle w:val="ListParagraph"/>
        <w:numPr>
          <w:ilvl w:val="1"/>
          <w:numId w:val="3"/>
        </w:numPr>
        <w:rPr>
          <w:rFonts w:ascii="Times New Roman" w:hAnsi="Times New Roman" w:cs="Times New Roman"/>
        </w:rPr>
      </w:pPr>
      <w:r>
        <w:rPr>
          <w:rFonts w:ascii="Times New Roman" w:hAnsi="Times New Roman" w:cs="Times New Roman"/>
        </w:rPr>
        <w:t>§ 456.057 paragraph 15, a</w:t>
      </w:r>
      <w:r w:rsidR="00083D5B" w:rsidRPr="00044C30">
        <w:rPr>
          <w:rFonts w:ascii="Times New Roman" w:hAnsi="Times New Roman" w:cs="Times New Roman"/>
        </w:rPr>
        <w:t xml:space="preserve"> violation of this will result in discipline by the “appropriate licensing authority”. </w:t>
      </w:r>
    </w:p>
    <w:p w14:paraId="154729B1"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 456.057 paragraph 16, The Attorney General is authorized to enforce this provision, through injunctive relief and fines, which cannot exceed $5,000 per violation. </w:t>
      </w:r>
    </w:p>
    <w:p w14:paraId="1C131DFE" w14:textId="77777777" w:rsidR="002E0E58"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New Hampshire—</w:t>
      </w:r>
      <w:r w:rsidR="00CD5827">
        <w:rPr>
          <w:rFonts w:ascii="Times New Roman" w:hAnsi="Times New Roman" w:cs="Times New Roman"/>
        </w:rPr>
        <w:t xml:space="preserve">Under RSA 332-1:6, New Hampshire </w:t>
      </w:r>
      <w:r w:rsidRPr="00044C30">
        <w:rPr>
          <w:rFonts w:ascii="Times New Roman" w:hAnsi="Times New Roman" w:cs="Times New Roman"/>
        </w:rPr>
        <w:t>allows for civil actio</w:t>
      </w:r>
      <w:r w:rsidR="00CD5827">
        <w:rPr>
          <w:rFonts w:ascii="Times New Roman" w:hAnsi="Times New Roman" w:cs="Times New Roman"/>
        </w:rPr>
        <w:t>n under RSA 332-1:4</w:t>
      </w:r>
      <w:r w:rsidR="001715E3">
        <w:rPr>
          <w:rFonts w:ascii="Times New Roman" w:hAnsi="Times New Roman" w:cs="Times New Roman"/>
        </w:rPr>
        <w:t xml:space="preserve"> (marketing and fundraising disclosures)</w:t>
      </w:r>
      <w:r w:rsidR="00CD5827">
        <w:rPr>
          <w:rFonts w:ascii="Times New Roman" w:hAnsi="Times New Roman" w:cs="Times New Roman"/>
        </w:rPr>
        <w:t xml:space="preserve"> or 332-1:5</w:t>
      </w:r>
      <w:r w:rsidR="001715E3">
        <w:rPr>
          <w:rFonts w:ascii="Times New Roman" w:hAnsi="Times New Roman" w:cs="Times New Roman"/>
        </w:rPr>
        <w:t xml:space="preserve"> (unauthorized disclosures)</w:t>
      </w:r>
      <w:r w:rsidR="00CD5827">
        <w:rPr>
          <w:rFonts w:ascii="Times New Roman" w:hAnsi="Times New Roman" w:cs="Times New Roman"/>
        </w:rPr>
        <w:t xml:space="preserve">. </w:t>
      </w:r>
    </w:p>
    <w:p w14:paraId="661732A1" w14:textId="69988AD6" w:rsidR="00083D5B" w:rsidRPr="00044C30" w:rsidRDefault="00CD5827" w:rsidP="002E0E58">
      <w:pPr>
        <w:pStyle w:val="ListParagraph"/>
        <w:numPr>
          <w:ilvl w:val="1"/>
          <w:numId w:val="3"/>
        </w:numPr>
        <w:rPr>
          <w:rFonts w:ascii="Times New Roman" w:hAnsi="Times New Roman" w:cs="Times New Roman"/>
        </w:rPr>
      </w:pPr>
      <w:r>
        <w:rPr>
          <w:rFonts w:ascii="Times New Roman" w:hAnsi="Times New Roman" w:cs="Times New Roman"/>
        </w:rPr>
        <w:t xml:space="preserve">This statute </w:t>
      </w:r>
      <w:r w:rsidR="00083D5B" w:rsidRPr="00044C30">
        <w:rPr>
          <w:rFonts w:ascii="Times New Roman" w:hAnsi="Times New Roman" w:cs="Times New Roman"/>
        </w:rPr>
        <w:t xml:space="preserve">stipulates that damages (special or general) will be awarded to successful complainants, </w:t>
      </w:r>
      <w:r>
        <w:rPr>
          <w:rFonts w:ascii="Times New Roman" w:hAnsi="Times New Roman" w:cs="Times New Roman"/>
        </w:rPr>
        <w:t xml:space="preserve">and that </w:t>
      </w:r>
      <w:r w:rsidR="00083D5B" w:rsidRPr="00044C30">
        <w:rPr>
          <w:rFonts w:ascii="Times New Roman" w:hAnsi="Times New Roman" w:cs="Times New Roman"/>
        </w:rPr>
        <w:t>damage awards shall be no less than $1,000 for each violation + cost + reasonable legal fees.</w:t>
      </w:r>
      <w:r w:rsidR="00083D5B" w:rsidRPr="00044C30">
        <w:rPr>
          <w:rStyle w:val="FootnoteReference"/>
          <w:rFonts w:ascii="Times New Roman" w:hAnsi="Times New Roman" w:cs="Times New Roman"/>
        </w:rPr>
        <w:footnoteReference w:id="24"/>
      </w:r>
      <w:r w:rsidR="00083D5B" w:rsidRPr="00044C30">
        <w:rPr>
          <w:rFonts w:ascii="Times New Roman" w:hAnsi="Times New Roman" w:cs="Times New Roman"/>
        </w:rPr>
        <w:t xml:space="preserve"> </w:t>
      </w:r>
      <w:r w:rsidR="001715E3">
        <w:rPr>
          <w:rFonts w:ascii="Times New Roman" w:hAnsi="Times New Roman" w:cs="Times New Roman"/>
        </w:rPr>
        <w:t>However, it appears that this action is limited to only violations of disclosures for the purpose of marketing and fundraising.</w:t>
      </w:r>
    </w:p>
    <w:p w14:paraId="22FE47B2" w14:textId="77777777" w:rsidR="00CF3FFF" w:rsidRDefault="00083D5B" w:rsidP="00083D5B">
      <w:pPr>
        <w:pStyle w:val="ListParagraph"/>
        <w:numPr>
          <w:ilvl w:val="0"/>
          <w:numId w:val="3"/>
        </w:numPr>
        <w:rPr>
          <w:rFonts w:ascii="Times New Roman" w:hAnsi="Times New Roman" w:cs="Times New Roman"/>
        </w:rPr>
      </w:pPr>
      <w:r w:rsidRPr="00CF3FFF">
        <w:rPr>
          <w:rFonts w:ascii="Times New Roman" w:hAnsi="Times New Roman" w:cs="Times New Roman"/>
        </w:rPr>
        <w:t>Rhode Island</w:t>
      </w:r>
      <w:r w:rsidRPr="00044C30">
        <w:rPr>
          <w:rFonts w:ascii="Times New Roman" w:hAnsi="Times New Roman" w:cs="Times New Roman"/>
        </w:rPr>
        <w:t xml:space="preserve">—Confidentiality of Health Care Communications and Information Act, </w:t>
      </w:r>
    </w:p>
    <w:p w14:paraId="10113F26" w14:textId="77777777" w:rsidR="00CF3FFF" w:rsidRDefault="00CF3FFF" w:rsidP="00CF3FFF">
      <w:pPr>
        <w:pStyle w:val="ListParagraph"/>
        <w:numPr>
          <w:ilvl w:val="1"/>
          <w:numId w:val="3"/>
        </w:numPr>
        <w:rPr>
          <w:rFonts w:ascii="Times New Roman" w:hAnsi="Times New Roman" w:cs="Times New Roman"/>
        </w:rPr>
      </w:pPr>
      <w:r>
        <w:rPr>
          <w:rFonts w:ascii="Times New Roman" w:hAnsi="Times New Roman" w:cs="Times New Roman"/>
        </w:rPr>
        <w:t xml:space="preserve">RI Gen L § 5-37.3-4 states that any person who violates the </w:t>
      </w:r>
      <w:r w:rsidRPr="00CF3FFF">
        <w:rPr>
          <w:rFonts w:ascii="Times New Roman" w:hAnsi="Times New Roman" w:cs="Times New Roman"/>
          <w:i/>
        </w:rPr>
        <w:t>section</w:t>
      </w:r>
      <w:r>
        <w:rPr>
          <w:rFonts w:ascii="Times New Roman" w:hAnsi="Times New Roman" w:cs="Times New Roman"/>
        </w:rPr>
        <w:t xml:space="preserve"> may be liable for actual and punitive damages, and that the court may award a reasonable attorney’s fee to the prevailing party. </w:t>
      </w:r>
    </w:p>
    <w:p w14:paraId="00B05339" w14:textId="77777777" w:rsidR="00CF3FFF" w:rsidRPr="00CF3FFF" w:rsidRDefault="00CF3FFF" w:rsidP="00CF3FFF">
      <w:pPr>
        <w:pStyle w:val="ListParagraph"/>
        <w:numPr>
          <w:ilvl w:val="2"/>
          <w:numId w:val="3"/>
        </w:numPr>
        <w:rPr>
          <w:rFonts w:ascii="Times New Roman" w:hAnsi="Times New Roman" w:cs="Times New Roman"/>
        </w:rPr>
      </w:pPr>
      <w:r>
        <w:rPr>
          <w:rFonts w:ascii="Times New Roman" w:hAnsi="Times New Roman" w:cs="Times New Roman"/>
        </w:rPr>
        <w:lastRenderedPageBreak/>
        <w:t xml:space="preserve">Knowing and intentional violations can result in fines up to $5,000 and/or imprisonment of up to 6 months, for each violation. </w:t>
      </w:r>
    </w:p>
    <w:p w14:paraId="077570F3" w14:textId="77777777" w:rsidR="00083D5B" w:rsidRPr="00044C30" w:rsidRDefault="00083D5B" w:rsidP="00CF3FFF">
      <w:pPr>
        <w:pStyle w:val="ListParagraph"/>
        <w:numPr>
          <w:ilvl w:val="1"/>
          <w:numId w:val="3"/>
        </w:numPr>
        <w:rPr>
          <w:rFonts w:ascii="Times New Roman" w:hAnsi="Times New Roman" w:cs="Times New Roman"/>
        </w:rPr>
      </w:pPr>
      <w:r w:rsidRPr="00044C30">
        <w:rPr>
          <w:rFonts w:ascii="Times New Roman" w:hAnsi="Times New Roman" w:cs="Times New Roman"/>
        </w:rPr>
        <w:t xml:space="preserve">RI Gen L § 5-37.3-9 outlines </w:t>
      </w:r>
      <w:r w:rsidR="00CF3FFF">
        <w:rPr>
          <w:rFonts w:ascii="Times New Roman" w:hAnsi="Times New Roman" w:cs="Times New Roman"/>
        </w:rPr>
        <w:t xml:space="preserve">civil </w:t>
      </w:r>
      <w:r w:rsidRPr="00044C30">
        <w:rPr>
          <w:rFonts w:ascii="Times New Roman" w:hAnsi="Times New Roman" w:cs="Times New Roman"/>
        </w:rPr>
        <w:t>penalties for vi</w:t>
      </w:r>
      <w:r w:rsidR="00CF3FFF">
        <w:rPr>
          <w:rFonts w:ascii="Times New Roman" w:hAnsi="Times New Roman" w:cs="Times New Roman"/>
        </w:rPr>
        <w:t xml:space="preserve">olating the Act, which includes actual and exemplary damages. </w:t>
      </w:r>
    </w:p>
    <w:p w14:paraId="3F7AD972"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Applicable to anyone who obtains confidential health care information through the commission of a crime. </w:t>
      </w:r>
    </w:p>
    <w:p w14:paraId="66F4AE1C" w14:textId="77777777" w:rsidR="00083D5B" w:rsidRDefault="00CF3FFF" w:rsidP="00083D5B">
      <w:pPr>
        <w:pStyle w:val="ListParagraph"/>
        <w:numPr>
          <w:ilvl w:val="1"/>
          <w:numId w:val="3"/>
        </w:numPr>
        <w:rPr>
          <w:rFonts w:ascii="Times New Roman" w:hAnsi="Times New Roman" w:cs="Times New Roman"/>
        </w:rPr>
      </w:pPr>
      <w:r>
        <w:rPr>
          <w:rFonts w:ascii="Times New Roman" w:hAnsi="Times New Roman" w:cs="Times New Roman"/>
        </w:rPr>
        <w:t>Under § 5-37.3-9, Rhode Island law states that c</w:t>
      </w:r>
      <w:r w:rsidR="00083D5B" w:rsidRPr="00044C30">
        <w:rPr>
          <w:rFonts w:ascii="Times New Roman" w:hAnsi="Times New Roman" w:cs="Times New Roman"/>
        </w:rPr>
        <w:t xml:space="preserve">riminal penalties for </w:t>
      </w:r>
      <w:r>
        <w:rPr>
          <w:rFonts w:ascii="Times New Roman" w:hAnsi="Times New Roman" w:cs="Times New Roman"/>
        </w:rPr>
        <w:t xml:space="preserve">an intentional and knowing violation of this </w:t>
      </w:r>
      <w:r w:rsidRPr="00CF3FFF">
        <w:rPr>
          <w:rFonts w:ascii="Times New Roman" w:hAnsi="Times New Roman" w:cs="Times New Roman"/>
          <w:i/>
        </w:rPr>
        <w:t>chapter</w:t>
      </w:r>
      <w:r>
        <w:rPr>
          <w:rFonts w:ascii="Times New Roman" w:hAnsi="Times New Roman" w:cs="Times New Roman"/>
        </w:rPr>
        <w:t xml:space="preserve"> include a fine of</w:t>
      </w:r>
      <w:r w:rsidR="00083D5B" w:rsidRPr="00044C30">
        <w:rPr>
          <w:rFonts w:ascii="Times New Roman" w:hAnsi="Times New Roman" w:cs="Times New Roman"/>
        </w:rPr>
        <w:t xml:space="preserve"> no more than $1,000 and/or imprisoned up to 6 months. </w:t>
      </w:r>
    </w:p>
    <w:p w14:paraId="53C85976" w14:textId="77777777" w:rsidR="00083D5B" w:rsidRPr="00CF3FFF" w:rsidRDefault="00CF3FFF" w:rsidP="00CF3FFF">
      <w:pPr>
        <w:pStyle w:val="ListParagraph"/>
        <w:numPr>
          <w:ilvl w:val="1"/>
          <w:numId w:val="3"/>
        </w:numPr>
        <w:rPr>
          <w:rFonts w:ascii="Times New Roman" w:hAnsi="Times New Roman" w:cs="Times New Roman"/>
        </w:rPr>
      </w:pPr>
      <w:r>
        <w:rPr>
          <w:rFonts w:ascii="Times New Roman" w:hAnsi="Times New Roman" w:cs="Times New Roman"/>
        </w:rPr>
        <w:t xml:space="preserve">Both civil and criminal penalties are application to anyone who </w:t>
      </w:r>
      <w:r w:rsidR="00083D5B" w:rsidRPr="00CF3FFF">
        <w:rPr>
          <w:rFonts w:ascii="Times New Roman" w:hAnsi="Times New Roman" w:cs="Times New Roman"/>
        </w:rPr>
        <w:t xml:space="preserve">obtains confidential health care information through the commission of a crime. </w:t>
      </w:r>
    </w:p>
    <w:p w14:paraId="481CF648"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Attorney’s Fees may be awarded, at the discretion of the court, to any successful party in any action under this Act. </w:t>
      </w:r>
    </w:p>
    <w:p w14:paraId="1A211002"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Tennessee—§ 68-11-1504 of Tennessee Code states that penalties and injunctions are available under the Patient Privacy Protection Act, but does not state</w:t>
      </w:r>
      <w:r w:rsidR="004B73E5">
        <w:rPr>
          <w:rFonts w:ascii="Times New Roman" w:hAnsi="Times New Roman" w:cs="Times New Roman"/>
        </w:rPr>
        <w:t xml:space="preserve"> what the penalties include. This section </w:t>
      </w:r>
      <w:r w:rsidRPr="00044C30">
        <w:rPr>
          <w:rFonts w:ascii="Times New Roman" w:hAnsi="Times New Roman" w:cs="Times New Roman"/>
        </w:rPr>
        <w:t xml:space="preserve">also states that civil actions for damages for invasion of privacy is also available to persons for violations of the Act. </w:t>
      </w:r>
    </w:p>
    <w:p w14:paraId="016FED21" w14:textId="77777777" w:rsidR="00083D5B" w:rsidRPr="00044C30" w:rsidRDefault="00083D5B" w:rsidP="00083D5B">
      <w:pPr>
        <w:pStyle w:val="ListParagraph"/>
        <w:numPr>
          <w:ilvl w:val="0"/>
          <w:numId w:val="3"/>
        </w:numPr>
        <w:rPr>
          <w:rFonts w:ascii="Times New Roman" w:hAnsi="Times New Roman" w:cs="Times New Roman"/>
        </w:rPr>
      </w:pPr>
      <w:r w:rsidRPr="00044C30">
        <w:rPr>
          <w:rFonts w:ascii="Times New Roman" w:hAnsi="Times New Roman" w:cs="Times New Roman"/>
        </w:rPr>
        <w:t xml:space="preserve">Washington—although Washington code mimics HIPPA, § 70.02.170 allows for civil remedies should a person violate that chapter of Washington code. </w:t>
      </w:r>
    </w:p>
    <w:p w14:paraId="3DE8BAA5"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The civil remedies include:</w:t>
      </w:r>
    </w:p>
    <w:p w14:paraId="244D1380"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Court may order the health care provider or person to comply with the chapter. </w:t>
      </w:r>
    </w:p>
    <w:p w14:paraId="3BF1E659"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Relief may include actual damages, but cannot include consequential or incidental damages. </w:t>
      </w:r>
    </w:p>
    <w:p w14:paraId="4A1EBDCC" w14:textId="77777777" w:rsidR="00083D5B" w:rsidRPr="00044C30" w:rsidRDefault="00083D5B" w:rsidP="00083D5B">
      <w:pPr>
        <w:pStyle w:val="ListParagraph"/>
        <w:numPr>
          <w:ilvl w:val="2"/>
          <w:numId w:val="3"/>
        </w:numPr>
        <w:rPr>
          <w:rFonts w:ascii="Times New Roman" w:hAnsi="Times New Roman" w:cs="Times New Roman"/>
        </w:rPr>
      </w:pPr>
      <w:r w:rsidRPr="00044C30">
        <w:rPr>
          <w:rFonts w:ascii="Times New Roman" w:hAnsi="Times New Roman" w:cs="Times New Roman"/>
        </w:rPr>
        <w:t xml:space="preserve">Court shall award reasonable attorneys’ fees and all other expenses reasonably incurred to the prevailing party. </w:t>
      </w:r>
    </w:p>
    <w:p w14:paraId="1864104E" w14:textId="77777777" w:rsidR="00083D5B" w:rsidRPr="00044C30" w:rsidRDefault="00083D5B" w:rsidP="00083D5B">
      <w:pPr>
        <w:pStyle w:val="ListParagraph"/>
        <w:numPr>
          <w:ilvl w:val="1"/>
          <w:numId w:val="3"/>
        </w:numPr>
        <w:rPr>
          <w:rFonts w:ascii="Times New Roman" w:hAnsi="Times New Roman" w:cs="Times New Roman"/>
        </w:rPr>
      </w:pPr>
      <w:r w:rsidRPr="00044C30">
        <w:rPr>
          <w:rFonts w:ascii="Times New Roman" w:hAnsi="Times New Roman" w:cs="Times New Roman"/>
        </w:rPr>
        <w:t xml:space="preserve">Actions must be commenced within 2 years after the cause of action is discovered. </w:t>
      </w:r>
    </w:p>
    <w:p w14:paraId="51D247F7" w14:textId="77777777" w:rsidR="00083D5B" w:rsidRPr="00044C30" w:rsidRDefault="00083D5B" w:rsidP="00083D5B">
      <w:pPr>
        <w:rPr>
          <w:rFonts w:ascii="Times New Roman" w:hAnsi="Times New Roman" w:cs="Times New Roman"/>
        </w:rPr>
      </w:pPr>
    </w:p>
    <w:p w14:paraId="4CDFE4E9" w14:textId="354991DA" w:rsidR="008732DC" w:rsidRDefault="00805CB3" w:rsidP="006772DE">
      <w:pPr>
        <w:rPr>
          <w:rFonts w:ascii="Times New Roman" w:hAnsi="Times New Roman" w:cs="Times New Roman"/>
        </w:rPr>
      </w:pPr>
      <w:r>
        <w:rPr>
          <w:rFonts w:ascii="Times New Roman" w:hAnsi="Times New Roman" w:cs="Times New Roman"/>
        </w:rPr>
        <w:t xml:space="preserve">As demonstrated, although several states have </w:t>
      </w:r>
      <w:r w:rsidR="00083D5B" w:rsidRPr="00044C30">
        <w:rPr>
          <w:rFonts w:ascii="Times New Roman" w:hAnsi="Times New Roman" w:cs="Times New Roman"/>
        </w:rPr>
        <w:t xml:space="preserve">laws </w:t>
      </w:r>
      <w:r>
        <w:rPr>
          <w:rFonts w:ascii="Times New Roman" w:hAnsi="Times New Roman" w:cs="Times New Roman"/>
        </w:rPr>
        <w:t>that provide</w:t>
      </w:r>
      <w:r w:rsidR="00083D5B" w:rsidRPr="00044C30">
        <w:rPr>
          <w:rFonts w:ascii="Times New Roman" w:hAnsi="Times New Roman" w:cs="Times New Roman"/>
        </w:rPr>
        <w:t xml:space="preserve"> a </w:t>
      </w:r>
      <w:r w:rsidR="00F55658">
        <w:rPr>
          <w:rFonts w:ascii="Times New Roman" w:hAnsi="Times New Roman" w:cs="Times New Roman"/>
        </w:rPr>
        <w:t xml:space="preserve">means for legal remedy </w:t>
      </w:r>
      <w:r w:rsidR="00083D5B" w:rsidRPr="00044C30">
        <w:rPr>
          <w:rFonts w:ascii="Times New Roman" w:hAnsi="Times New Roman" w:cs="Times New Roman"/>
        </w:rPr>
        <w:t xml:space="preserve">when a </w:t>
      </w:r>
      <w:r w:rsidR="00B82262">
        <w:rPr>
          <w:rFonts w:ascii="Times New Roman" w:hAnsi="Times New Roman" w:cs="Times New Roman"/>
        </w:rPr>
        <w:t>patient</w:t>
      </w:r>
      <w:r w:rsidR="00083D5B" w:rsidRPr="00044C30">
        <w:rPr>
          <w:rFonts w:ascii="Times New Roman" w:hAnsi="Times New Roman" w:cs="Times New Roman"/>
        </w:rPr>
        <w:t xml:space="preserve">’s </w:t>
      </w:r>
      <w:r w:rsidR="002E0E58">
        <w:rPr>
          <w:rFonts w:ascii="Times New Roman" w:hAnsi="Times New Roman" w:cs="Times New Roman"/>
        </w:rPr>
        <w:t>privacy rights have</w:t>
      </w:r>
      <w:r w:rsidR="00083D5B" w:rsidRPr="00044C30">
        <w:rPr>
          <w:rFonts w:ascii="Times New Roman" w:hAnsi="Times New Roman" w:cs="Times New Roman"/>
        </w:rPr>
        <w:t xml:space="preserve"> been violated</w:t>
      </w:r>
      <w:r>
        <w:rPr>
          <w:rFonts w:ascii="Times New Roman" w:hAnsi="Times New Roman" w:cs="Times New Roman"/>
        </w:rPr>
        <w:t>, many do not</w:t>
      </w:r>
      <w:r w:rsidR="00083D5B" w:rsidRPr="00044C30">
        <w:rPr>
          <w:rFonts w:ascii="Times New Roman" w:hAnsi="Times New Roman" w:cs="Times New Roman"/>
        </w:rPr>
        <w:t>. As a result, p</w:t>
      </w:r>
      <w:r w:rsidR="00B82262">
        <w:rPr>
          <w:rFonts w:ascii="Times New Roman" w:hAnsi="Times New Roman" w:cs="Times New Roman"/>
        </w:rPr>
        <w:t>atients</w:t>
      </w:r>
      <w:r w:rsidR="00083D5B" w:rsidRPr="00044C30">
        <w:rPr>
          <w:rFonts w:ascii="Times New Roman" w:hAnsi="Times New Roman" w:cs="Times New Roman"/>
        </w:rPr>
        <w:t xml:space="preserve"> who have had their privacy compromised or violated </w:t>
      </w:r>
      <w:r w:rsidR="002E0E58">
        <w:rPr>
          <w:rFonts w:ascii="Times New Roman" w:hAnsi="Times New Roman" w:cs="Times New Roman"/>
        </w:rPr>
        <w:t xml:space="preserve">have limited options when seeking redress. In order to be compensated a patient must often </w:t>
      </w:r>
      <w:r w:rsidR="00083D5B" w:rsidRPr="00044C30">
        <w:rPr>
          <w:rFonts w:ascii="Times New Roman" w:hAnsi="Times New Roman" w:cs="Times New Roman"/>
        </w:rPr>
        <w:t>file a lawsuit alleging negligence, defamation, intentional inflicti</w:t>
      </w:r>
      <w:r w:rsidR="00834A63">
        <w:rPr>
          <w:rFonts w:ascii="Times New Roman" w:hAnsi="Times New Roman" w:cs="Times New Roman"/>
        </w:rPr>
        <w:t xml:space="preserve">on of emotional distress, etc. </w:t>
      </w:r>
      <w:r w:rsidR="00083D5B" w:rsidRPr="00044C30">
        <w:rPr>
          <w:rFonts w:ascii="Times New Roman" w:hAnsi="Times New Roman" w:cs="Times New Roman"/>
        </w:rPr>
        <w:t xml:space="preserve">Although permitting a private lawsuit </w:t>
      </w:r>
      <w:r w:rsidR="00834A63">
        <w:rPr>
          <w:rFonts w:ascii="Times New Roman" w:hAnsi="Times New Roman" w:cs="Times New Roman"/>
        </w:rPr>
        <w:t xml:space="preserve">may provide </w:t>
      </w:r>
      <w:r w:rsidR="00083D5B" w:rsidRPr="00044C30">
        <w:rPr>
          <w:rFonts w:ascii="Times New Roman" w:hAnsi="Times New Roman" w:cs="Times New Roman"/>
        </w:rPr>
        <w:t xml:space="preserve">better </w:t>
      </w:r>
      <w:r w:rsidR="00834A63">
        <w:rPr>
          <w:rFonts w:ascii="Times New Roman" w:hAnsi="Times New Roman" w:cs="Times New Roman"/>
        </w:rPr>
        <w:t>results</w:t>
      </w:r>
      <w:r w:rsidR="00083D5B" w:rsidRPr="00044C30">
        <w:rPr>
          <w:rFonts w:ascii="Times New Roman" w:hAnsi="Times New Roman" w:cs="Times New Roman"/>
        </w:rPr>
        <w:t xml:space="preserve"> than</w:t>
      </w:r>
      <w:r w:rsidR="00834A63">
        <w:rPr>
          <w:rFonts w:ascii="Times New Roman" w:hAnsi="Times New Roman" w:cs="Times New Roman"/>
        </w:rPr>
        <w:t xml:space="preserve"> a</w:t>
      </w:r>
      <w:r w:rsidR="00083D5B" w:rsidRPr="00044C30">
        <w:rPr>
          <w:rFonts w:ascii="Times New Roman" w:hAnsi="Times New Roman" w:cs="Times New Roman"/>
        </w:rPr>
        <w:t xml:space="preserve"> HIPAA</w:t>
      </w:r>
      <w:r w:rsidR="00834A63">
        <w:rPr>
          <w:rFonts w:ascii="Times New Roman" w:hAnsi="Times New Roman" w:cs="Times New Roman"/>
        </w:rPr>
        <w:t xml:space="preserve"> complaint</w:t>
      </w:r>
      <w:r w:rsidR="00083D5B" w:rsidRPr="00044C30">
        <w:rPr>
          <w:rFonts w:ascii="Times New Roman" w:hAnsi="Times New Roman" w:cs="Times New Roman"/>
        </w:rPr>
        <w:t xml:space="preserve">, it places a great burden on the victims who have had their private health information wrongfully disclosed or shared. </w:t>
      </w:r>
    </w:p>
    <w:p w14:paraId="571CAE4B" w14:textId="77777777" w:rsidR="008732DC" w:rsidRDefault="008732DC" w:rsidP="006772DE">
      <w:pPr>
        <w:rPr>
          <w:rFonts w:ascii="Times New Roman" w:hAnsi="Times New Roman" w:cs="Times New Roman"/>
        </w:rPr>
      </w:pPr>
    </w:p>
    <w:p w14:paraId="02575A5A" w14:textId="008B96A3" w:rsidR="008732DC" w:rsidRDefault="00834A63" w:rsidP="006772DE">
      <w:pPr>
        <w:rPr>
          <w:rFonts w:ascii="Times New Roman" w:hAnsi="Times New Roman" w:cs="Times New Roman"/>
        </w:rPr>
      </w:pPr>
      <w:r>
        <w:rPr>
          <w:rFonts w:ascii="Times New Roman" w:hAnsi="Times New Roman" w:cs="Times New Roman"/>
        </w:rPr>
        <w:lastRenderedPageBreak/>
        <w:t>First, i</w:t>
      </w:r>
      <w:r w:rsidR="00083D5B" w:rsidRPr="00044C30">
        <w:rPr>
          <w:rFonts w:ascii="Times New Roman" w:hAnsi="Times New Roman" w:cs="Times New Roman"/>
        </w:rPr>
        <w:t xml:space="preserve">n order to pursue a lawsuit, victims must </w:t>
      </w:r>
      <w:r w:rsidR="00DE029B">
        <w:rPr>
          <w:rFonts w:ascii="Times New Roman" w:hAnsi="Times New Roman" w:cs="Times New Roman"/>
        </w:rPr>
        <w:t xml:space="preserve">know whether their </w:t>
      </w:r>
      <w:r w:rsidR="00083D5B" w:rsidRPr="00044C30">
        <w:rPr>
          <w:rFonts w:ascii="Times New Roman" w:hAnsi="Times New Roman" w:cs="Times New Roman"/>
        </w:rPr>
        <w:t>p</w:t>
      </w:r>
      <w:r w:rsidR="00DE029B">
        <w:rPr>
          <w:rFonts w:ascii="Times New Roman" w:hAnsi="Times New Roman" w:cs="Times New Roman"/>
        </w:rPr>
        <w:t>rivacy has been violated</w:t>
      </w:r>
      <w:r w:rsidR="001016A5">
        <w:rPr>
          <w:rFonts w:ascii="Times New Roman" w:hAnsi="Times New Roman" w:cs="Times New Roman"/>
        </w:rPr>
        <w:t>. This</w:t>
      </w:r>
      <w:r w:rsidR="00DE029B">
        <w:rPr>
          <w:rFonts w:ascii="Times New Roman" w:hAnsi="Times New Roman" w:cs="Times New Roman"/>
        </w:rPr>
        <w:t xml:space="preserve"> will require</w:t>
      </w:r>
      <w:r w:rsidR="008C25CD">
        <w:rPr>
          <w:rFonts w:ascii="Times New Roman" w:hAnsi="Times New Roman" w:cs="Times New Roman"/>
        </w:rPr>
        <w:t xml:space="preserve"> either a whistleblower reporting improper disclosures to HHS, requesting a patient’s entire medical history, and, or requesting an accounting of disclosures.</w:t>
      </w:r>
      <w:r w:rsidR="00DE029B">
        <w:rPr>
          <w:rStyle w:val="FootnoteReference"/>
          <w:rFonts w:ascii="Times New Roman" w:hAnsi="Times New Roman" w:cs="Times New Roman"/>
        </w:rPr>
        <w:footnoteReference w:id="25"/>
      </w:r>
      <w:r w:rsidR="008C25CD">
        <w:rPr>
          <w:rFonts w:ascii="Times New Roman" w:hAnsi="Times New Roman" w:cs="Times New Roman"/>
        </w:rPr>
        <w:t xml:space="preserve"> </w:t>
      </w:r>
      <w:r w:rsidR="009E5256">
        <w:rPr>
          <w:rFonts w:ascii="Times New Roman" w:hAnsi="Times New Roman" w:cs="Times New Roman"/>
        </w:rPr>
        <w:t>Unless a whistleblower reports improper disclosures, determining whether an improper disclosure has occurred depends entirely on the patient</w:t>
      </w:r>
      <w:r w:rsidR="00AD6629">
        <w:rPr>
          <w:rFonts w:ascii="Times New Roman" w:hAnsi="Times New Roman" w:cs="Times New Roman"/>
        </w:rPr>
        <w:t xml:space="preserve"> performing requests, including record requests</w:t>
      </w:r>
      <w:r w:rsidR="009E5256">
        <w:rPr>
          <w:rFonts w:ascii="Times New Roman" w:hAnsi="Times New Roman" w:cs="Times New Roman"/>
        </w:rPr>
        <w:t xml:space="preserve"> and, or </w:t>
      </w:r>
      <w:r w:rsidR="00AD6629">
        <w:rPr>
          <w:rFonts w:ascii="Times New Roman" w:hAnsi="Times New Roman" w:cs="Times New Roman"/>
        </w:rPr>
        <w:t xml:space="preserve">requests for an </w:t>
      </w:r>
      <w:r w:rsidR="009E5256">
        <w:rPr>
          <w:rFonts w:ascii="Times New Roman" w:hAnsi="Times New Roman" w:cs="Times New Roman"/>
        </w:rPr>
        <w:t xml:space="preserve">accounting of disclosures. </w:t>
      </w:r>
      <w:r w:rsidR="00936EE7">
        <w:rPr>
          <w:rFonts w:ascii="Times New Roman" w:hAnsi="Times New Roman" w:cs="Times New Roman"/>
        </w:rPr>
        <w:t>Requesting medical records is</w:t>
      </w:r>
      <w:r w:rsidR="001016A5">
        <w:rPr>
          <w:rFonts w:ascii="Times New Roman" w:hAnsi="Times New Roman" w:cs="Times New Roman"/>
        </w:rPr>
        <w:t xml:space="preserve"> </w:t>
      </w:r>
      <w:r w:rsidR="00811014">
        <w:rPr>
          <w:rFonts w:ascii="Times New Roman" w:hAnsi="Times New Roman" w:cs="Times New Roman"/>
        </w:rPr>
        <w:t xml:space="preserve">often more complex </w:t>
      </w:r>
      <w:r w:rsidR="00E54B2E">
        <w:rPr>
          <w:rFonts w:ascii="Times New Roman" w:hAnsi="Times New Roman" w:cs="Times New Roman"/>
        </w:rPr>
        <w:t xml:space="preserve">and expensive </w:t>
      </w:r>
      <w:r w:rsidR="00811014">
        <w:rPr>
          <w:rFonts w:ascii="Times New Roman" w:hAnsi="Times New Roman" w:cs="Times New Roman"/>
        </w:rPr>
        <w:t xml:space="preserve">than </w:t>
      </w:r>
      <w:r w:rsidR="00E54B2E">
        <w:rPr>
          <w:rFonts w:ascii="Times New Roman" w:hAnsi="Times New Roman" w:cs="Times New Roman"/>
        </w:rPr>
        <w:t xml:space="preserve">patients imagine, as records can be hundreds or thousands of pages with medical information </w:t>
      </w:r>
      <w:r w:rsidR="00936EE7">
        <w:rPr>
          <w:rFonts w:ascii="Times New Roman" w:hAnsi="Times New Roman" w:cs="Times New Roman"/>
        </w:rPr>
        <w:t xml:space="preserve">that patients </w:t>
      </w:r>
      <w:r w:rsidR="00E54B2E">
        <w:rPr>
          <w:rFonts w:ascii="Times New Roman" w:hAnsi="Times New Roman" w:cs="Times New Roman"/>
        </w:rPr>
        <w:t xml:space="preserve">do not understand. </w:t>
      </w:r>
      <w:r w:rsidR="00936EE7">
        <w:rPr>
          <w:rFonts w:ascii="Times New Roman" w:hAnsi="Times New Roman" w:cs="Times New Roman"/>
        </w:rPr>
        <w:t>An accounting of disclosures will be more helpful in determining how, when, and to whom have records been disclosed. This process may be less burdensome, as the first copy request</w:t>
      </w:r>
      <w:r w:rsidR="00956174">
        <w:rPr>
          <w:rFonts w:ascii="Times New Roman" w:hAnsi="Times New Roman" w:cs="Times New Roman"/>
        </w:rPr>
        <w:t>ed in a 12-</w:t>
      </w:r>
      <w:r w:rsidR="00936EE7">
        <w:rPr>
          <w:rFonts w:ascii="Times New Roman" w:hAnsi="Times New Roman" w:cs="Times New Roman"/>
        </w:rPr>
        <w:t xml:space="preserve">month period is free. However, </w:t>
      </w:r>
      <w:r w:rsidR="00532EAA">
        <w:rPr>
          <w:rFonts w:ascii="Times New Roman" w:hAnsi="Times New Roman" w:cs="Times New Roman"/>
        </w:rPr>
        <w:t>the accounting record</w:t>
      </w:r>
      <w:r w:rsidR="009E5256">
        <w:rPr>
          <w:rFonts w:ascii="Times New Roman" w:hAnsi="Times New Roman" w:cs="Times New Roman"/>
        </w:rPr>
        <w:t xml:space="preserve"> may not be received for two to three months, </w:t>
      </w:r>
      <w:r w:rsidR="00532EAA">
        <w:rPr>
          <w:rFonts w:ascii="Times New Roman" w:hAnsi="Times New Roman" w:cs="Times New Roman"/>
        </w:rPr>
        <w:t>because providers are granted</w:t>
      </w:r>
      <w:r w:rsidR="00936EE7">
        <w:rPr>
          <w:rFonts w:ascii="Times New Roman" w:hAnsi="Times New Roman" w:cs="Times New Roman"/>
        </w:rPr>
        <w:t xml:space="preserve"> </w:t>
      </w:r>
      <w:r w:rsidR="00532EAA">
        <w:rPr>
          <w:rFonts w:ascii="Times New Roman" w:hAnsi="Times New Roman" w:cs="Times New Roman"/>
        </w:rPr>
        <w:t xml:space="preserve">60 to </w:t>
      </w:r>
      <w:r w:rsidR="00936EE7">
        <w:rPr>
          <w:rFonts w:ascii="Times New Roman" w:hAnsi="Times New Roman" w:cs="Times New Roman"/>
        </w:rPr>
        <w:t xml:space="preserve">90 days to fulfill </w:t>
      </w:r>
      <w:r w:rsidR="00532EAA">
        <w:rPr>
          <w:rFonts w:ascii="Times New Roman" w:hAnsi="Times New Roman" w:cs="Times New Roman"/>
        </w:rPr>
        <w:t>any accounting requests.</w:t>
      </w:r>
      <w:r w:rsidR="00936EE7">
        <w:rPr>
          <w:rFonts w:ascii="Times New Roman" w:hAnsi="Times New Roman" w:cs="Times New Roman"/>
        </w:rPr>
        <w:t xml:space="preserve"> </w:t>
      </w:r>
    </w:p>
    <w:p w14:paraId="5B043E89" w14:textId="77777777" w:rsidR="008732DC" w:rsidRDefault="008732DC" w:rsidP="006772DE">
      <w:pPr>
        <w:rPr>
          <w:rFonts w:ascii="Times New Roman" w:hAnsi="Times New Roman" w:cs="Times New Roman"/>
        </w:rPr>
      </w:pPr>
    </w:p>
    <w:p w14:paraId="5120D1B5" w14:textId="4918307F" w:rsidR="00402FCF" w:rsidRDefault="00A41FBA" w:rsidP="006772DE">
      <w:pPr>
        <w:rPr>
          <w:rFonts w:ascii="Times New Roman" w:hAnsi="Times New Roman" w:cs="Times New Roman"/>
        </w:rPr>
      </w:pPr>
      <w:r>
        <w:rPr>
          <w:rFonts w:ascii="Times New Roman" w:hAnsi="Times New Roman" w:cs="Times New Roman"/>
        </w:rPr>
        <w:t>Second,</w:t>
      </w:r>
      <w:r w:rsidR="00D12C0B">
        <w:rPr>
          <w:rFonts w:ascii="Times New Roman" w:hAnsi="Times New Roman" w:cs="Times New Roman"/>
        </w:rPr>
        <w:t xml:space="preserve"> patients are burdened by the </w:t>
      </w:r>
      <w:r w:rsidR="00DC4FC3">
        <w:rPr>
          <w:rFonts w:ascii="Times New Roman" w:hAnsi="Times New Roman" w:cs="Times New Roman"/>
        </w:rPr>
        <w:t xml:space="preserve">requirement that they establish the necessary </w:t>
      </w:r>
      <w:r w:rsidR="006772DE">
        <w:rPr>
          <w:rFonts w:ascii="Times New Roman" w:hAnsi="Times New Roman" w:cs="Times New Roman"/>
        </w:rPr>
        <w:t>elements of their claim</w:t>
      </w:r>
      <w:r w:rsidR="00956174">
        <w:rPr>
          <w:rFonts w:ascii="Times New Roman" w:hAnsi="Times New Roman" w:cs="Times New Roman"/>
        </w:rPr>
        <w:t>, and</w:t>
      </w:r>
      <w:r w:rsidR="005E7810">
        <w:rPr>
          <w:rFonts w:ascii="Times New Roman" w:hAnsi="Times New Roman" w:cs="Times New Roman"/>
        </w:rPr>
        <w:t xml:space="preserve"> that they</w:t>
      </w:r>
      <w:r w:rsidR="00956174">
        <w:rPr>
          <w:rFonts w:ascii="Times New Roman" w:hAnsi="Times New Roman" w:cs="Times New Roman"/>
        </w:rPr>
        <w:t xml:space="preserve"> do so within the statute of limitations</w:t>
      </w:r>
      <w:r w:rsidR="006772DE">
        <w:rPr>
          <w:rFonts w:ascii="Times New Roman" w:hAnsi="Times New Roman" w:cs="Times New Roman"/>
        </w:rPr>
        <w:t xml:space="preserve">. </w:t>
      </w:r>
      <w:r w:rsidR="008732DC">
        <w:rPr>
          <w:rFonts w:ascii="Times New Roman" w:hAnsi="Times New Roman" w:cs="Times New Roman"/>
        </w:rPr>
        <w:t xml:space="preserve">These elements will vary based on the claims made by patients. </w:t>
      </w:r>
      <w:r w:rsidR="006772DE">
        <w:rPr>
          <w:rFonts w:ascii="Times New Roman" w:hAnsi="Times New Roman" w:cs="Times New Roman"/>
        </w:rPr>
        <w:t xml:space="preserve">For example, </w:t>
      </w:r>
      <w:r w:rsidR="00DC5A7F">
        <w:rPr>
          <w:rFonts w:ascii="Times New Roman" w:hAnsi="Times New Roman" w:cs="Times New Roman"/>
        </w:rPr>
        <w:t>in a state that permits action under a public disclosure of private fact c</w:t>
      </w:r>
      <w:r w:rsidR="00956174">
        <w:rPr>
          <w:rFonts w:ascii="Times New Roman" w:hAnsi="Times New Roman" w:cs="Times New Roman"/>
        </w:rPr>
        <w:t>laim, a patient must establish four</w:t>
      </w:r>
      <w:r w:rsidR="00DC5A7F">
        <w:rPr>
          <w:rFonts w:ascii="Times New Roman" w:hAnsi="Times New Roman" w:cs="Times New Roman"/>
        </w:rPr>
        <w:t xml:space="preserve"> things: </w:t>
      </w:r>
    </w:p>
    <w:p w14:paraId="455F6E44" w14:textId="77777777" w:rsidR="00402FCF" w:rsidRDefault="00DC5A7F" w:rsidP="00402FCF">
      <w:pPr>
        <w:pStyle w:val="ListParagraph"/>
        <w:numPr>
          <w:ilvl w:val="0"/>
          <w:numId w:val="25"/>
        </w:numPr>
        <w:rPr>
          <w:rFonts w:ascii="Times New Roman" w:hAnsi="Times New Roman" w:cs="Times New Roman"/>
        </w:rPr>
      </w:pPr>
      <w:r w:rsidRPr="00402FCF">
        <w:rPr>
          <w:rFonts w:ascii="Times New Roman" w:hAnsi="Times New Roman" w:cs="Times New Roman"/>
        </w:rPr>
        <w:t xml:space="preserve">the disclosed fact was private; </w:t>
      </w:r>
    </w:p>
    <w:p w14:paraId="3D794AED" w14:textId="77777777" w:rsidR="00402FCF" w:rsidRDefault="00DC5A7F" w:rsidP="00402FCF">
      <w:pPr>
        <w:pStyle w:val="ListParagraph"/>
        <w:numPr>
          <w:ilvl w:val="0"/>
          <w:numId w:val="25"/>
        </w:numPr>
        <w:rPr>
          <w:rFonts w:ascii="Times New Roman" w:hAnsi="Times New Roman" w:cs="Times New Roman"/>
        </w:rPr>
      </w:pPr>
      <w:r w:rsidRPr="00402FCF">
        <w:rPr>
          <w:rFonts w:ascii="Times New Roman" w:hAnsi="Times New Roman" w:cs="Times New Roman"/>
        </w:rPr>
        <w:t xml:space="preserve">there was a public </w:t>
      </w:r>
      <w:r w:rsidR="00402FCF">
        <w:rPr>
          <w:rFonts w:ascii="Times New Roman" w:hAnsi="Times New Roman" w:cs="Times New Roman"/>
        </w:rPr>
        <w:t>disclosure of the private fact;</w:t>
      </w:r>
    </w:p>
    <w:p w14:paraId="7192CAB3" w14:textId="77777777" w:rsidR="00402FCF" w:rsidRDefault="00DC5A7F" w:rsidP="00402FCF">
      <w:pPr>
        <w:pStyle w:val="ListParagraph"/>
        <w:numPr>
          <w:ilvl w:val="0"/>
          <w:numId w:val="25"/>
        </w:numPr>
        <w:rPr>
          <w:rFonts w:ascii="Times New Roman" w:hAnsi="Times New Roman" w:cs="Times New Roman"/>
        </w:rPr>
      </w:pPr>
      <w:r w:rsidRPr="00402FCF">
        <w:rPr>
          <w:rFonts w:ascii="Times New Roman" w:hAnsi="Times New Roman" w:cs="Times New Roman"/>
        </w:rPr>
        <w:t>the public disclosure of private facts is offensive to a reasonable person</w:t>
      </w:r>
      <w:r w:rsidR="00402FCF">
        <w:rPr>
          <w:rFonts w:ascii="Times New Roman" w:hAnsi="Times New Roman" w:cs="Times New Roman"/>
        </w:rPr>
        <w:t xml:space="preserve">; and </w:t>
      </w:r>
    </w:p>
    <w:p w14:paraId="20146EB5" w14:textId="77777777" w:rsidR="00402FCF" w:rsidRDefault="00956174" w:rsidP="00402FCF">
      <w:pPr>
        <w:pStyle w:val="ListParagraph"/>
        <w:numPr>
          <w:ilvl w:val="0"/>
          <w:numId w:val="25"/>
        </w:numPr>
        <w:rPr>
          <w:rFonts w:ascii="Times New Roman" w:hAnsi="Times New Roman" w:cs="Times New Roman"/>
        </w:rPr>
      </w:pPr>
      <w:r w:rsidRPr="00402FCF">
        <w:rPr>
          <w:rFonts w:ascii="Times New Roman" w:hAnsi="Times New Roman" w:cs="Times New Roman"/>
        </w:rPr>
        <w:t>that the fact is not a matter of legitimate public concern</w:t>
      </w:r>
      <w:r w:rsidR="00DC5A7F" w:rsidRPr="00402FCF">
        <w:rPr>
          <w:rFonts w:ascii="Times New Roman" w:hAnsi="Times New Roman" w:cs="Times New Roman"/>
        </w:rPr>
        <w:t xml:space="preserve">. </w:t>
      </w:r>
    </w:p>
    <w:p w14:paraId="60BA1733" w14:textId="243082D1" w:rsidR="006772DE" w:rsidRDefault="00956174" w:rsidP="00402FCF">
      <w:pPr>
        <w:rPr>
          <w:rFonts w:ascii="Times New Roman" w:hAnsi="Times New Roman" w:cs="Times New Roman"/>
        </w:rPr>
      </w:pPr>
      <w:r w:rsidRPr="00402FCF">
        <w:rPr>
          <w:rFonts w:ascii="Times New Roman" w:hAnsi="Times New Roman" w:cs="Times New Roman"/>
        </w:rPr>
        <w:t xml:space="preserve">Although these </w:t>
      </w:r>
      <w:r w:rsidR="005E7810" w:rsidRPr="00402FCF">
        <w:rPr>
          <w:rFonts w:ascii="Times New Roman" w:hAnsi="Times New Roman" w:cs="Times New Roman"/>
        </w:rPr>
        <w:t xml:space="preserve">four elements seem relatively easy </w:t>
      </w:r>
      <w:r w:rsidRPr="00402FCF">
        <w:rPr>
          <w:rFonts w:ascii="Times New Roman" w:hAnsi="Times New Roman" w:cs="Times New Roman"/>
        </w:rPr>
        <w:t xml:space="preserve">to demonstrate, there are two important considerations. First, </w:t>
      </w:r>
      <w:r w:rsidR="00663C54">
        <w:rPr>
          <w:rFonts w:ascii="Times New Roman" w:hAnsi="Times New Roman" w:cs="Times New Roman"/>
        </w:rPr>
        <w:t xml:space="preserve">under </w:t>
      </w:r>
      <w:r w:rsidRPr="00402FCF">
        <w:rPr>
          <w:rFonts w:ascii="Times New Roman" w:hAnsi="Times New Roman" w:cs="Times New Roman"/>
        </w:rPr>
        <w:t xml:space="preserve">this claim </w:t>
      </w:r>
      <w:r w:rsidR="00663C54">
        <w:rPr>
          <w:rFonts w:ascii="Times New Roman" w:hAnsi="Times New Roman" w:cs="Times New Roman"/>
        </w:rPr>
        <w:t xml:space="preserve">a simple wrongful disclosure is not sufficient. It </w:t>
      </w:r>
      <w:r w:rsidRPr="00402FCF">
        <w:rPr>
          <w:rFonts w:ascii="Times New Roman" w:hAnsi="Times New Roman" w:cs="Times New Roman"/>
        </w:rPr>
        <w:t xml:space="preserve">requires </w:t>
      </w:r>
      <w:r w:rsidR="00663C54">
        <w:rPr>
          <w:rFonts w:ascii="Times New Roman" w:hAnsi="Times New Roman" w:cs="Times New Roman"/>
        </w:rPr>
        <w:t>that someone</w:t>
      </w:r>
      <w:r w:rsidRPr="00402FCF">
        <w:rPr>
          <w:rFonts w:ascii="Times New Roman" w:hAnsi="Times New Roman" w:cs="Times New Roman"/>
        </w:rPr>
        <w:t xml:space="preserve"> publish or make public </w:t>
      </w:r>
      <w:r w:rsidR="00663C54">
        <w:rPr>
          <w:rFonts w:ascii="Times New Roman" w:hAnsi="Times New Roman" w:cs="Times New Roman"/>
        </w:rPr>
        <w:t>the patient’s private health information.</w:t>
      </w:r>
      <w:r w:rsidRPr="00402FCF">
        <w:rPr>
          <w:rFonts w:ascii="Times New Roman" w:hAnsi="Times New Roman" w:cs="Times New Roman"/>
        </w:rPr>
        <w:t xml:space="preserve"> Second,</w:t>
      </w:r>
      <w:r w:rsidR="00663C54">
        <w:rPr>
          <w:rFonts w:ascii="Times New Roman" w:hAnsi="Times New Roman" w:cs="Times New Roman"/>
        </w:rPr>
        <w:t xml:space="preserve"> </w:t>
      </w:r>
      <w:r w:rsidRPr="00402FCF">
        <w:rPr>
          <w:rFonts w:ascii="Times New Roman" w:hAnsi="Times New Roman" w:cs="Times New Roman"/>
        </w:rPr>
        <w:t xml:space="preserve">the statute of limitations for a public disclosure of private fact claim is often only one to three years. Given the length of time it takes to </w:t>
      </w:r>
      <w:r w:rsidR="00663C54">
        <w:rPr>
          <w:rFonts w:ascii="Times New Roman" w:hAnsi="Times New Roman" w:cs="Times New Roman"/>
        </w:rPr>
        <w:t>learn and determine that there has been a wrongful disclosure</w:t>
      </w:r>
      <w:r w:rsidR="008732DC" w:rsidRPr="00402FCF">
        <w:rPr>
          <w:rFonts w:ascii="Times New Roman" w:hAnsi="Times New Roman" w:cs="Times New Roman"/>
        </w:rPr>
        <w:t xml:space="preserve">, this statute of limitations may be incredibly rigid and difficult to satisfy. </w:t>
      </w:r>
    </w:p>
    <w:p w14:paraId="3084B8F4" w14:textId="557E68AA" w:rsidR="00A41FBA" w:rsidRDefault="00A41FBA" w:rsidP="00402FCF">
      <w:pPr>
        <w:rPr>
          <w:rFonts w:ascii="Times New Roman" w:hAnsi="Times New Roman" w:cs="Times New Roman"/>
        </w:rPr>
      </w:pPr>
    </w:p>
    <w:p w14:paraId="6D821BAB" w14:textId="12AB37EF" w:rsidR="00A41FBA" w:rsidRPr="00402FCF" w:rsidRDefault="00A41FBA" w:rsidP="00402FCF">
      <w:pPr>
        <w:rPr>
          <w:rFonts w:ascii="Times New Roman" w:hAnsi="Times New Roman" w:cs="Times New Roman"/>
        </w:rPr>
      </w:pPr>
      <w:r>
        <w:rPr>
          <w:rFonts w:ascii="Times New Roman" w:hAnsi="Times New Roman" w:cs="Times New Roman"/>
        </w:rPr>
        <w:t xml:space="preserve">Lastly, patients must establish </w:t>
      </w:r>
      <w:r w:rsidR="00A44852">
        <w:rPr>
          <w:rFonts w:ascii="Times New Roman" w:hAnsi="Times New Roman" w:cs="Times New Roman"/>
        </w:rPr>
        <w:t xml:space="preserve">and prove </w:t>
      </w:r>
      <w:r>
        <w:rPr>
          <w:rFonts w:ascii="Times New Roman" w:hAnsi="Times New Roman" w:cs="Times New Roman"/>
        </w:rPr>
        <w:t xml:space="preserve">damages. </w:t>
      </w:r>
      <w:r w:rsidR="007679E5">
        <w:rPr>
          <w:rFonts w:ascii="Times New Roman" w:hAnsi="Times New Roman" w:cs="Times New Roman"/>
        </w:rPr>
        <w:t>This requires a patient to establish the harm or effect the wr</w:t>
      </w:r>
      <w:r w:rsidR="00A44852">
        <w:rPr>
          <w:rFonts w:ascii="Times New Roman" w:hAnsi="Times New Roman" w:cs="Times New Roman"/>
        </w:rPr>
        <w:t>ongful disclosure had upon them.</w:t>
      </w:r>
      <w:r w:rsidR="007679E5">
        <w:rPr>
          <w:rFonts w:ascii="Times New Roman" w:hAnsi="Times New Roman" w:cs="Times New Roman"/>
        </w:rPr>
        <w:t xml:space="preserve"> For example, if a public disclosure of private fact resulted in a loss of business, the patient may allege damages equivalent to the amount </w:t>
      </w:r>
      <w:r w:rsidR="005F4D9B">
        <w:rPr>
          <w:rFonts w:ascii="Times New Roman" w:hAnsi="Times New Roman" w:cs="Times New Roman"/>
        </w:rPr>
        <w:t>of business lost</w:t>
      </w:r>
      <w:r w:rsidR="007679E5">
        <w:rPr>
          <w:rFonts w:ascii="Times New Roman" w:hAnsi="Times New Roman" w:cs="Times New Roman"/>
        </w:rPr>
        <w:t xml:space="preserve">. </w:t>
      </w:r>
      <w:r w:rsidR="009807D5">
        <w:rPr>
          <w:rFonts w:ascii="Times New Roman" w:hAnsi="Times New Roman" w:cs="Times New Roman"/>
        </w:rPr>
        <w:t>There are several other means of establishing damages, but whether</w:t>
      </w:r>
      <w:r>
        <w:rPr>
          <w:rFonts w:ascii="Times New Roman" w:hAnsi="Times New Roman" w:cs="Times New Roman"/>
        </w:rPr>
        <w:t xml:space="preserve"> a patient’s alleged damages are </w:t>
      </w:r>
      <w:r w:rsidR="007679E5">
        <w:rPr>
          <w:rFonts w:ascii="Times New Roman" w:hAnsi="Times New Roman" w:cs="Times New Roman"/>
        </w:rPr>
        <w:t xml:space="preserve">compensable will vary from state to state. </w:t>
      </w:r>
    </w:p>
    <w:p w14:paraId="654D6471" w14:textId="77777777" w:rsidR="00D12C0B" w:rsidRDefault="00D12C0B" w:rsidP="00083D5B">
      <w:pPr>
        <w:rPr>
          <w:rFonts w:ascii="Times New Roman" w:hAnsi="Times New Roman" w:cs="Times New Roman"/>
        </w:rPr>
      </w:pPr>
    </w:p>
    <w:p w14:paraId="4BA4A401" w14:textId="45FAEC27" w:rsidR="008E6D72" w:rsidRDefault="005E7810" w:rsidP="00D52CC7">
      <w:pPr>
        <w:rPr>
          <w:rFonts w:ascii="Times New Roman" w:hAnsi="Times New Roman" w:cs="Times New Roman"/>
        </w:rPr>
      </w:pPr>
      <w:r>
        <w:rPr>
          <w:rFonts w:ascii="Times New Roman" w:hAnsi="Times New Roman" w:cs="Times New Roman"/>
        </w:rPr>
        <w:t xml:space="preserve">Even in the circumstances in which a patient overcomes the above-mentioned hurdles, and does obtain a favorable outcome, these lawsuits do </w:t>
      </w:r>
      <w:r w:rsidR="006A6F3B">
        <w:rPr>
          <w:rFonts w:ascii="Times New Roman" w:hAnsi="Times New Roman" w:cs="Times New Roman"/>
        </w:rPr>
        <w:t xml:space="preserve">very </w:t>
      </w:r>
      <w:r>
        <w:rPr>
          <w:rFonts w:ascii="Times New Roman" w:hAnsi="Times New Roman" w:cs="Times New Roman"/>
        </w:rPr>
        <w:t>little to remedy the wrongful disclosure</w:t>
      </w:r>
      <w:r w:rsidR="006A6F3B">
        <w:rPr>
          <w:rFonts w:ascii="Times New Roman" w:hAnsi="Times New Roman" w:cs="Times New Roman"/>
        </w:rPr>
        <w:t xml:space="preserve">. </w:t>
      </w:r>
      <w:r w:rsidR="00B51287">
        <w:rPr>
          <w:rFonts w:ascii="Times New Roman" w:hAnsi="Times New Roman" w:cs="Times New Roman"/>
        </w:rPr>
        <w:t>For example, unlike the OCR complaint process,</w:t>
      </w:r>
      <w:r w:rsidR="00264817">
        <w:rPr>
          <w:rFonts w:ascii="Times New Roman" w:hAnsi="Times New Roman" w:cs="Times New Roman"/>
        </w:rPr>
        <w:t xml:space="preserve"> a lawsuit does not track those with repeat violations</w:t>
      </w:r>
      <w:r w:rsidR="00B51287">
        <w:rPr>
          <w:rFonts w:ascii="Times New Roman" w:hAnsi="Times New Roman" w:cs="Times New Roman"/>
        </w:rPr>
        <w:t xml:space="preserve">. Additionally, a lawsuit cannot repair the harm done to a patient’s privacy. </w:t>
      </w:r>
      <w:r>
        <w:rPr>
          <w:rFonts w:ascii="Times New Roman" w:hAnsi="Times New Roman" w:cs="Times New Roman"/>
        </w:rPr>
        <w:t xml:space="preserve">Instead, lawsuits provide patients, those with the necessary resources and time, </w:t>
      </w:r>
      <w:r w:rsidR="00A41FBA">
        <w:rPr>
          <w:rFonts w:ascii="Times New Roman" w:hAnsi="Times New Roman" w:cs="Times New Roman"/>
        </w:rPr>
        <w:t>financial compensation.</w:t>
      </w:r>
      <w:r>
        <w:rPr>
          <w:rFonts w:ascii="Times New Roman" w:hAnsi="Times New Roman" w:cs="Times New Roman"/>
        </w:rPr>
        <w:t xml:space="preserve"> </w:t>
      </w:r>
      <w:r w:rsidR="00915082">
        <w:rPr>
          <w:rFonts w:ascii="Times New Roman" w:hAnsi="Times New Roman" w:cs="Times New Roman"/>
        </w:rPr>
        <w:t xml:space="preserve">That said, a private action under state law will also do very little to remedy a wrongful disclosure, and will </w:t>
      </w:r>
      <w:r w:rsidR="009807D5">
        <w:rPr>
          <w:rFonts w:ascii="Times New Roman" w:hAnsi="Times New Roman" w:cs="Times New Roman"/>
        </w:rPr>
        <w:t>also</w:t>
      </w:r>
      <w:r w:rsidR="00915082">
        <w:rPr>
          <w:rFonts w:ascii="Times New Roman" w:hAnsi="Times New Roman" w:cs="Times New Roman"/>
        </w:rPr>
        <w:t xml:space="preserve"> place some burdens on the harmed patient. </w:t>
      </w:r>
      <w:r w:rsidR="00D52CC7">
        <w:rPr>
          <w:rFonts w:ascii="Times New Roman" w:hAnsi="Times New Roman" w:cs="Times New Roman"/>
        </w:rPr>
        <w:t xml:space="preserve">For example, </w:t>
      </w:r>
      <w:r w:rsidR="00D52CC7" w:rsidRPr="00D52CC7">
        <w:rPr>
          <w:rFonts w:ascii="Times New Roman" w:hAnsi="Times New Roman" w:cs="Times New Roman"/>
        </w:rPr>
        <w:t>p</w:t>
      </w:r>
      <w:r w:rsidR="00915082" w:rsidRPr="00D52CC7">
        <w:rPr>
          <w:rFonts w:ascii="Times New Roman" w:hAnsi="Times New Roman" w:cs="Times New Roman"/>
        </w:rPr>
        <w:t>atients pursuing an action under</w:t>
      </w:r>
      <w:r w:rsidR="008E6D72" w:rsidRPr="00D52CC7">
        <w:rPr>
          <w:rFonts w:ascii="Times New Roman" w:hAnsi="Times New Roman" w:cs="Times New Roman"/>
        </w:rPr>
        <w:t xml:space="preserve"> § 144.</w:t>
      </w:r>
      <w:r w:rsidR="00915082" w:rsidRPr="00D52CC7">
        <w:rPr>
          <w:rFonts w:ascii="Times New Roman" w:hAnsi="Times New Roman" w:cs="Times New Roman"/>
        </w:rPr>
        <w:t xml:space="preserve">298 </w:t>
      </w:r>
      <w:r w:rsidR="00D52CC7" w:rsidRPr="00D52CC7">
        <w:rPr>
          <w:rFonts w:ascii="Times New Roman" w:hAnsi="Times New Roman" w:cs="Times New Roman"/>
        </w:rPr>
        <w:t xml:space="preserve">must </w:t>
      </w:r>
      <w:r w:rsidR="009807D5">
        <w:rPr>
          <w:rFonts w:ascii="Times New Roman" w:hAnsi="Times New Roman" w:cs="Times New Roman"/>
        </w:rPr>
        <w:t xml:space="preserve">still make the effort to determine whether there has been a wrongful disclosure, and must </w:t>
      </w:r>
      <w:r w:rsidR="00D52CC7" w:rsidRPr="00D52CC7">
        <w:rPr>
          <w:rFonts w:ascii="Times New Roman" w:hAnsi="Times New Roman" w:cs="Times New Roman"/>
        </w:rPr>
        <w:t>also establish damages.</w:t>
      </w:r>
      <w:r w:rsidR="00264817">
        <w:rPr>
          <w:rFonts w:ascii="Times New Roman" w:hAnsi="Times New Roman" w:cs="Times New Roman"/>
        </w:rPr>
        <w:t xml:space="preserve"> Whereas </w:t>
      </w:r>
      <w:r w:rsidR="00AA0DE4">
        <w:rPr>
          <w:rFonts w:ascii="Times New Roman" w:hAnsi="Times New Roman" w:cs="Times New Roman"/>
        </w:rPr>
        <w:t>through the OCR complaint process, the OCR</w:t>
      </w:r>
      <w:r w:rsidR="00264817">
        <w:rPr>
          <w:rFonts w:ascii="Times New Roman" w:hAnsi="Times New Roman" w:cs="Times New Roman"/>
        </w:rPr>
        <w:t xml:space="preserve"> </w:t>
      </w:r>
      <w:r w:rsidR="00AA0DE4">
        <w:rPr>
          <w:rFonts w:ascii="Times New Roman" w:hAnsi="Times New Roman" w:cs="Times New Roman"/>
        </w:rPr>
        <w:t>determines</w:t>
      </w:r>
      <w:r w:rsidR="00264817">
        <w:rPr>
          <w:rFonts w:ascii="Times New Roman" w:hAnsi="Times New Roman" w:cs="Times New Roman"/>
        </w:rPr>
        <w:t xml:space="preserve"> penalties based on the number and severity of violations. </w:t>
      </w:r>
    </w:p>
    <w:p w14:paraId="46426B16" w14:textId="77777777" w:rsidR="00AA0DE4" w:rsidRDefault="00AA0DE4" w:rsidP="00D52CC7">
      <w:pPr>
        <w:rPr>
          <w:rFonts w:ascii="Times New Roman" w:hAnsi="Times New Roman" w:cs="Times New Roman"/>
        </w:rPr>
      </w:pPr>
    </w:p>
    <w:p w14:paraId="023F7781" w14:textId="76AEDB69" w:rsidR="00080DD2" w:rsidRDefault="00080DD2" w:rsidP="00083D5B">
      <w:pPr>
        <w:rPr>
          <w:rFonts w:ascii="Times New Roman" w:hAnsi="Times New Roman" w:cs="Times New Roman"/>
        </w:rPr>
      </w:pPr>
    </w:p>
    <w:p w14:paraId="107B21EE" w14:textId="26CB685E" w:rsidR="00083D5B" w:rsidRDefault="00D63D9D" w:rsidP="00083D5B">
      <w:pPr>
        <w:rPr>
          <w:rFonts w:ascii="Times New Roman" w:hAnsi="Times New Roman" w:cs="Times New Roman"/>
          <w:b/>
        </w:rPr>
      </w:pPr>
      <w:r>
        <w:rPr>
          <w:rFonts w:ascii="Times New Roman" w:hAnsi="Times New Roman" w:cs="Times New Roman"/>
          <w:b/>
        </w:rPr>
        <w:t>Question 6</w:t>
      </w:r>
      <w:r w:rsidR="005D1696">
        <w:rPr>
          <w:rFonts w:ascii="Times New Roman" w:hAnsi="Times New Roman" w:cs="Times New Roman"/>
          <w:b/>
        </w:rPr>
        <w:t>:</w:t>
      </w:r>
    </w:p>
    <w:p w14:paraId="79CAAF60" w14:textId="77777777" w:rsidR="005D1696" w:rsidRPr="00044C30" w:rsidRDefault="005D1696" w:rsidP="00083D5B">
      <w:pPr>
        <w:rPr>
          <w:rFonts w:ascii="Times New Roman" w:hAnsi="Times New Roman" w:cs="Times New Roman"/>
        </w:rPr>
      </w:pPr>
    </w:p>
    <w:p w14:paraId="5ED15504" w14:textId="0445A231" w:rsidR="00083D5B" w:rsidRPr="00044C30" w:rsidRDefault="00083D5B" w:rsidP="00083D5B">
      <w:pPr>
        <w:rPr>
          <w:rFonts w:ascii="Times New Roman" w:hAnsi="Times New Roman" w:cs="Times New Roman"/>
          <w:b/>
        </w:rPr>
      </w:pPr>
      <w:r w:rsidRPr="00044C30">
        <w:rPr>
          <w:rFonts w:ascii="Times New Roman" w:hAnsi="Times New Roman" w:cs="Times New Roman"/>
          <w:b/>
        </w:rPr>
        <w:t xml:space="preserve">Does HIPAA require an accounting of disclosures for every disclosure of their information, including for research, payment, treatment, </w:t>
      </w:r>
      <w:r w:rsidR="00281D89">
        <w:rPr>
          <w:rFonts w:ascii="Times New Roman" w:hAnsi="Times New Roman" w:cs="Times New Roman"/>
          <w:b/>
        </w:rPr>
        <w:t xml:space="preserve">health care operations, and </w:t>
      </w:r>
      <w:r w:rsidRPr="004D6DB5">
        <w:rPr>
          <w:rFonts w:ascii="Times New Roman" w:hAnsi="Times New Roman" w:cs="Times New Roman"/>
          <w:b/>
        </w:rPr>
        <w:t xml:space="preserve">the 12 </w:t>
      </w:r>
      <w:r w:rsidR="00F23EE1">
        <w:rPr>
          <w:rFonts w:ascii="Times New Roman" w:hAnsi="Times New Roman" w:cs="Times New Roman"/>
          <w:b/>
        </w:rPr>
        <w:t>national priority purposes?</w:t>
      </w:r>
    </w:p>
    <w:p w14:paraId="1FB76514" w14:textId="77777777" w:rsidR="00083D5B" w:rsidRPr="00044C30" w:rsidRDefault="00083D5B" w:rsidP="00083D5B">
      <w:pPr>
        <w:rPr>
          <w:rFonts w:ascii="Times New Roman" w:hAnsi="Times New Roman" w:cs="Times New Roman"/>
        </w:rPr>
      </w:pPr>
    </w:p>
    <w:p w14:paraId="59AD75F3"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HIPAA, in some circumstances, does require an accounting of disclosures of protected health information (PHI) made by a covered entity. In those circumstances, when an individual requests an accounting of disclosures, the covered entity must provide an accounting of the last six years prior to the date of the request. However, a covered entity does not need to account for the following disclosures:</w:t>
      </w:r>
    </w:p>
    <w:p w14:paraId="6E92C244" w14:textId="77777777"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Disclosures for the purpose of treatment, payment, and health care operations;</w:t>
      </w:r>
    </w:p>
    <w:p w14:paraId="0F33A67D" w14:textId="409B92AE"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 xml:space="preserve">Disclosures </w:t>
      </w:r>
      <w:r w:rsidR="0033090B">
        <w:rPr>
          <w:rFonts w:ascii="Times New Roman" w:hAnsi="Times New Roman" w:cs="Times New Roman"/>
        </w:rPr>
        <w:t>made to the individual subject of the</w:t>
      </w:r>
      <w:r w:rsidR="00F93B35">
        <w:rPr>
          <w:rFonts w:ascii="Times New Roman" w:hAnsi="Times New Roman" w:cs="Times New Roman"/>
        </w:rPr>
        <w:t xml:space="preserve"> </w:t>
      </w:r>
      <w:r w:rsidRPr="00044C30">
        <w:rPr>
          <w:rFonts w:ascii="Times New Roman" w:hAnsi="Times New Roman" w:cs="Times New Roman"/>
        </w:rPr>
        <w:t xml:space="preserve">PHI; </w:t>
      </w:r>
    </w:p>
    <w:p w14:paraId="4B86BF95" w14:textId="7A46B720" w:rsidR="00083D5B"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Disclosures incident to a use or disclosure that is otherwise permitted or required by this subpart</w:t>
      </w:r>
      <w:r w:rsidR="00B47AC1">
        <w:rPr>
          <w:rFonts w:ascii="Times New Roman" w:hAnsi="Times New Roman" w:cs="Times New Roman"/>
        </w:rPr>
        <w:t xml:space="preserve"> (subpart E)</w:t>
      </w:r>
      <w:r w:rsidRPr="00044C30">
        <w:rPr>
          <w:rFonts w:ascii="Times New Roman" w:hAnsi="Times New Roman" w:cs="Times New Roman"/>
        </w:rPr>
        <w:t xml:space="preserve">; </w:t>
      </w:r>
    </w:p>
    <w:p w14:paraId="05EC3932" w14:textId="68CB839B" w:rsidR="00030B7D" w:rsidRPr="00044C30" w:rsidRDefault="00030B7D" w:rsidP="00030B7D">
      <w:pPr>
        <w:pStyle w:val="ListParagraph"/>
        <w:numPr>
          <w:ilvl w:val="1"/>
          <w:numId w:val="12"/>
        </w:numPr>
        <w:rPr>
          <w:rFonts w:ascii="Times New Roman" w:hAnsi="Times New Roman" w:cs="Times New Roman"/>
        </w:rPr>
      </w:pPr>
      <w:r>
        <w:rPr>
          <w:rFonts w:ascii="Times New Roman" w:hAnsi="Times New Roman" w:cs="Times New Roman"/>
        </w:rPr>
        <w:t>This includes incidents where a covered entity discloses a limited data set to a public health authority, according to their data use agreement.</w:t>
      </w:r>
      <w:r>
        <w:rPr>
          <w:rStyle w:val="FootnoteReference"/>
          <w:rFonts w:ascii="Times New Roman" w:hAnsi="Times New Roman" w:cs="Times New Roman"/>
        </w:rPr>
        <w:footnoteReference w:id="26"/>
      </w:r>
      <w:r>
        <w:rPr>
          <w:rFonts w:ascii="Times New Roman" w:hAnsi="Times New Roman" w:cs="Times New Roman"/>
        </w:rPr>
        <w:t xml:space="preserve"> </w:t>
      </w:r>
    </w:p>
    <w:p w14:paraId="0B709D7C" w14:textId="77777777"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lastRenderedPageBreak/>
        <w:t xml:space="preserve">Disclosures pursuant to authorization as provided in §164.508 (psychotherapy notes, marketing, sales); </w:t>
      </w:r>
    </w:p>
    <w:p w14:paraId="7A56562A" w14:textId="77777777"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 xml:space="preserve">Disclosures for the facility’s director or to persons involved in the individual’s care or for other notification purposes; </w:t>
      </w:r>
    </w:p>
    <w:p w14:paraId="5D348B55" w14:textId="77777777"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 xml:space="preserve">Disclosures for national security or intelligence purposes; </w:t>
      </w:r>
    </w:p>
    <w:p w14:paraId="43D2224E" w14:textId="77777777" w:rsidR="00083D5B" w:rsidRPr="00044C30"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 xml:space="preserve">Disclosures to correctional institutions or law enforcement officials; </w:t>
      </w:r>
    </w:p>
    <w:p w14:paraId="6F7AEFC9" w14:textId="6F9646BD" w:rsidR="00083D5B" w:rsidRDefault="00083D5B" w:rsidP="00083D5B">
      <w:pPr>
        <w:pStyle w:val="ListParagraph"/>
        <w:numPr>
          <w:ilvl w:val="0"/>
          <w:numId w:val="12"/>
        </w:numPr>
        <w:rPr>
          <w:rFonts w:ascii="Times New Roman" w:hAnsi="Times New Roman" w:cs="Times New Roman"/>
        </w:rPr>
      </w:pPr>
      <w:r w:rsidRPr="00044C30">
        <w:rPr>
          <w:rFonts w:ascii="Times New Roman" w:hAnsi="Times New Roman" w:cs="Times New Roman"/>
        </w:rPr>
        <w:t>Disclosures that occurred prior to the compliance date for the covered entity</w:t>
      </w:r>
      <w:r w:rsidR="002E29D8">
        <w:rPr>
          <w:rFonts w:ascii="Times New Roman" w:hAnsi="Times New Roman" w:cs="Times New Roman"/>
        </w:rPr>
        <w:t>;</w:t>
      </w:r>
      <w:r w:rsidRPr="00044C30">
        <w:rPr>
          <w:rStyle w:val="FootnoteReference"/>
          <w:rFonts w:ascii="Times New Roman" w:hAnsi="Times New Roman" w:cs="Times New Roman"/>
        </w:rPr>
        <w:footnoteReference w:id="27"/>
      </w:r>
    </w:p>
    <w:p w14:paraId="7324B146" w14:textId="561C1C78" w:rsidR="002E29D8" w:rsidRPr="00044C30" w:rsidRDefault="002E29D8" w:rsidP="00083D5B">
      <w:pPr>
        <w:pStyle w:val="ListParagraph"/>
        <w:numPr>
          <w:ilvl w:val="0"/>
          <w:numId w:val="12"/>
        </w:numPr>
        <w:rPr>
          <w:rFonts w:ascii="Times New Roman" w:hAnsi="Times New Roman" w:cs="Times New Roman"/>
        </w:rPr>
      </w:pPr>
      <w:r>
        <w:rPr>
          <w:rFonts w:ascii="Times New Roman" w:hAnsi="Times New Roman" w:cs="Times New Roman"/>
        </w:rPr>
        <w:t>Disclosures in the form of a limited data set.</w:t>
      </w:r>
      <w:r w:rsidRPr="00044C30">
        <w:rPr>
          <w:rStyle w:val="FootnoteReference"/>
          <w:rFonts w:ascii="Times New Roman" w:hAnsi="Times New Roman" w:cs="Times New Roman"/>
        </w:rPr>
        <w:footnoteReference w:id="28"/>
      </w:r>
      <w:r w:rsidRPr="00044C30">
        <w:rPr>
          <w:rFonts w:ascii="Times New Roman" w:hAnsi="Times New Roman" w:cs="Times New Roman"/>
        </w:rPr>
        <w:t xml:space="preserve"> </w:t>
      </w:r>
      <w:r>
        <w:rPr>
          <w:rFonts w:ascii="Times New Roman" w:hAnsi="Times New Roman" w:cs="Times New Roman"/>
        </w:rPr>
        <w:t xml:space="preserve"> </w:t>
      </w:r>
    </w:p>
    <w:p w14:paraId="5A4DEFF9" w14:textId="7C83DB3A"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The above listed exceptions to the accounting requirement leave </w:t>
      </w:r>
      <w:r w:rsidR="004763C3">
        <w:rPr>
          <w:rFonts w:ascii="Times New Roman" w:hAnsi="Times New Roman" w:cs="Times New Roman"/>
        </w:rPr>
        <w:t>few instances in which an</w:t>
      </w:r>
      <w:r w:rsidRPr="00044C30">
        <w:rPr>
          <w:rFonts w:ascii="Times New Roman" w:hAnsi="Times New Roman" w:cs="Times New Roman"/>
        </w:rPr>
        <w:t xml:space="preserve"> accounting of disclosures</w:t>
      </w:r>
      <w:r w:rsidR="004763C3">
        <w:rPr>
          <w:rFonts w:ascii="Times New Roman" w:hAnsi="Times New Roman" w:cs="Times New Roman"/>
        </w:rPr>
        <w:t xml:space="preserve"> is required</w:t>
      </w:r>
      <w:r w:rsidRPr="00044C30">
        <w:rPr>
          <w:rFonts w:ascii="Times New Roman" w:hAnsi="Times New Roman" w:cs="Times New Roman"/>
        </w:rPr>
        <w:t xml:space="preserve">. </w:t>
      </w:r>
      <w:r w:rsidR="004763C3">
        <w:rPr>
          <w:rFonts w:ascii="Times New Roman" w:hAnsi="Times New Roman" w:cs="Times New Roman"/>
        </w:rPr>
        <w:t>The accounting</w:t>
      </w:r>
      <w:r w:rsidRPr="00044C30">
        <w:rPr>
          <w:rFonts w:ascii="Times New Roman" w:hAnsi="Times New Roman" w:cs="Times New Roman"/>
        </w:rPr>
        <w:t xml:space="preserve"> of disclosures </w:t>
      </w:r>
      <w:r w:rsidR="004763C3">
        <w:rPr>
          <w:rFonts w:ascii="Times New Roman" w:hAnsi="Times New Roman" w:cs="Times New Roman"/>
        </w:rPr>
        <w:t xml:space="preserve">requirement </w:t>
      </w:r>
      <w:r w:rsidRPr="00044C30">
        <w:rPr>
          <w:rFonts w:ascii="Times New Roman" w:hAnsi="Times New Roman" w:cs="Times New Roman"/>
        </w:rPr>
        <w:t xml:space="preserve">does require the following </w:t>
      </w:r>
      <w:r w:rsidR="009E489C">
        <w:rPr>
          <w:rFonts w:ascii="Times New Roman" w:hAnsi="Times New Roman" w:cs="Times New Roman"/>
        </w:rPr>
        <w:t>three</w:t>
      </w:r>
      <w:r w:rsidRPr="00044C30">
        <w:rPr>
          <w:rFonts w:ascii="Times New Roman" w:hAnsi="Times New Roman" w:cs="Times New Roman"/>
        </w:rPr>
        <w:t xml:space="preserve"> disclosures to be included in accounting: </w:t>
      </w:r>
    </w:p>
    <w:p w14:paraId="7AFC0A55" w14:textId="2820754F" w:rsidR="00083D5B" w:rsidRDefault="00083D5B" w:rsidP="00083D5B">
      <w:pPr>
        <w:pStyle w:val="ListParagraph"/>
        <w:numPr>
          <w:ilvl w:val="0"/>
          <w:numId w:val="13"/>
        </w:numPr>
        <w:rPr>
          <w:rFonts w:ascii="Times New Roman" w:hAnsi="Times New Roman" w:cs="Times New Roman"/>
        </w:rPr>
      </w:pPr>
      <w:r w:rsidRPr="00044C30">
        <w:rPr>
          <w:rFonts w:ascii="Times New Roman" w:hAnsi="Times New Roman" w:cs="Times New Roman"/>
        </w:rPr>
        <w:t>General disclosures of PHI as required by or authorized by law, or made in response to</w:t>
      </w:r>
      <w:r w:rsidR="0047424D">
        <w:rPr>
          <w:rFonts w:ascii="Times New Roman" w:hAnsi="Times New Roman" w:cs="Times New Roman"/>
        </w:rPr>
        <w:t xml:space="preserve"> court orders, subpoenas, etc.;</w:t>
      </w:r>
    </w:p>
    <w:p w14:paraId="35F23678" w14:textId="470E3D73" w:rsidR="0047424D" w:rsidRPr="00044C30" w:rsidRDefault="0047424D" w:rsidP="00083D5B">
      <w:pPr>
        <w:pStyle w:val="ListParagraph"/>
        <w:numPr>
          <w:ilvl w:val="0"/>
          <w:numId w:val="13"/>
        </w:numPr>
        <w:rPr>
          <w:rFonts w:ascii="Times New Roman" w:hAnsi="Times New Roman" w:cs="Times New Roman"/>
        </w:rPr>
      </w:pPr>
      <w:r>
        <w:rPr>
          <w:rFonts w:ascii="Times New Roman" w:hAnsi="Times New Roman" w:cs="Times New Roman"/>
        </w:rPr>
        <w:t xml:space="preserve">General disclosures of </w:t>
      </w:r>
      <w:r w:rsidR="009E489C">
        <w:rPr>
          <w:rFonts w:ascii="Times New Roman" w:hAnsi="Times New Roman" w:cs="Times New Roman"/>
        </w:rPr>
        <w:t xml:space="preserve">PHI as required for a proceeding before a health oversight agency pursuant to </w:t>
      </w:r>
      <w:r w:rsidR="009E489C" w:rsidRPr="009E489C">
        <w:rPr>
          <w:rFonts w:ascii="Times New Roman" w:hAnsi="Times New Roman" w:cs="Times New Roman"/>
        </w:rPr>
        <w:t>§ 164.512</w:t>
      </w:r>
      <w:r w:rsidR="009E489C">
        <w:rPr>
          <w:rFonts w:ascii="Times New Roman" w:hAnsi="Times New Roman" w:cs="Times New Roman"/>
        </w:rPr>
        <w:t>(d); and</w:t>
      </w:r>
    </w:p>
    <w:p w14:paraId="322547C8" w14:textId="77777777" w:rsidR="00083D5B" w:rsidRPr="00044C30" w:rsidRDefault="00083D5B" w:rsidP="00083D5B">
      <w:pPr>
        <w:pStyle w:val="ListParagraph"/>
        <w:numPr>
          <w:ilvl w:val="0"/>
          <w:numId w:val="13"/>
        </w:numPr>
        <w:rPr>
          <w:rFonts w:ascii="Times New Roman" w:hAnsi="Times New Roman" w:cs="Times New Roman"/>
        </w:rPr>
      </w:pPr>
      <w:r w:rsidRPr="00044C30">
        <w:rPr>
          <w:rFonts w:ascii="Times New Roman" w:hAnsi="Times New Roman" w:cs="Times New Roman"/>
        </w:rPr>
        <w:t>Disclosures of PHI for the purpose of research, if the research was or will be obtained or disclosed without an individual’s authorization.</w:t>
      </w:r>
      <w:r w:rsidRPr="00044C30">
        <w:rPr>
          <w:rStyle w:val="FootnoteReference"/>
          <w:rFonts w:ascii="Times New Roman" w:hAnsi="Times New Roman" w:cs="Times New Roman"/>
        </w:rPr>
        <w:footnoteReference w:id="29"/>
      </w:r>
      <w:r w:rsidRPr="00044C30">
        <w:rPr>
          <w:rFonts w:ascii="Times New Roman" w:hAnsi="Times New Roman" w:cs="Times New Roman"/>
        </w:rPr>
        <w:t xml:space="preserve"> </w:t>
      </w:r>
    </w:p>
    <w:p w14:paraId="5B3F8285"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 xml:space="preserve"> </w:t>
      </w:r>
    </w:p>
    <w:p w14:paraId="2E7F115E" w14:textId="77777777" w:rsidR="00083D5B" w:rsidRPr="00044C30" w:rsidRDefault="00083D5B" w:rsidP="00083D5B">
      <w:pPr>
        <w:rPr>
          <w:rFonts w:ascii="Times New Roman" w:hAnsi="Times New Roman" w:cs="Times New Roman"/>
        </w:rPr>
      </w:pPr>
      <w:r w:rsidRPr="00044C30">
        <w:rPr>
          <w:rFonts w:ascii="Times New Roman" w:hAnsi="Times New Roman" w:cs="Times New Roman"/>
        </w:rPr>
        <w:t>Under HIPAA § 164.528 (a)(4), a disclosure of PHI within the last six years, for the purpose of research for 50 or more individuals, must be included in an accounting of disclosures. Accounting of disclosures for the purpose of research must include the following:</w:t>
      </w:r>
    </w:p>
    <w:p w14:paraId="5BCA0FF3"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t xml:space="preserve">The name of the protocol or research activity; </w:t>
      </w:r>
    </w:p>
    <w:p w14:paraId="71D2BE15"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t xml:space="preserve">A plain language description of the research activity, the purpose of the research, and the criteria for selecting records; </w:t>
      </w:r>
    </w:p>
    <w:p w14:paraId="3CD31F8B"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t xml:space="preserve">A brief description of the type of PHI that was disclosed; </w:t>
      </w:r>
    </w:p>
    <w:p w14:paraId="0A6DF157"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t xml:space="preserve">The data or period of time during which disclosures occurred, or may have occurred; </w:t>
      </w:r>
    </w:p>
    <w:p w14:paraId="36D041EA"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lastRenderedPageBreak/>
        <w:t>The name, address, and telephone number of the entity that sponsored the research, and the name, address, and telephone number of the researcher to whom the information was disclosed; and</w:t>
      </w:r>
    </w:p>
    <w:p w14:paraId="6E7D8765" w14:textId="77777777" w:rsidR="00083D5B" w:rsidRPr="00044C30" w:rsidRDefault="00083D5B" w:rsidP="00083D5B">
      <w:pPr>
        <w:pStyle w:val="ListParagraph"/>
        <w:numPr>
          <w:ilvl w:val="0"/>
          <w:numId w:val="14"/>
        </w:numPr>
        <w:rPr>
          <w:rFonts w:ascii="Times New Roman" w:hAnsi="Times New Roman" w:cs="Times New Roman"/>
        </w:rPr>
      </w:pPr>
      <w:r w:rsidRPr="00044C30">
        <w:rPr>
          <w:rFonts w:ascii="Times New Roman" w:hAnsi="Times New Roman" w:cs="Times New Roman"/>
        </w:rPr>
        <w:t>A statement that the PHI of the individual may or may not have been disclosed for a particular protocol or other research activity.</w:t>
      </w:r>
      <w:r w:rsidRPr="00044C30">
        <w:rPr>
          <w:rStyle w:val="FootnoteReference"/>
          <w:rFonts w:ascii="Times New Roman" w:hAnsi="Times New Roman" w:cs="Times New Roman"/>
        </w:rPr>
        <w:footnoteReference w:id="30"/>
      </w:r>
      <w:r w:rsidRPr="00044C30">
        <w:rPr>
          <w:rFonts w:ascii="Times New Roman" w:hAnsi="Times New Roman" w:cs="Times New Roman"/>
        </w:rPr>
        <w:t xml:space="preserve"> </w:t>
      </w:r>
    </w:p>
    <w:p w14:paraId="6E5379A4" w14:textId="293CCE59" w:rsidR="00083D5B" w:rsidRDefault="00083D5B" w:rsidP="00083D5B">
      <w:pPr>
        <w:rPr>
          <w:rFonts w:ascii="Times New Roman" w:hAnsi="Times New Roman" w:cs="Times New Roman"/>
        </w:rPr>
      </w:pPr>
    </w:p>
    <w:p w14:paraId="1CC4F52A" w14:textId="5D6E8F1D" w:rsidR="00A67B33" w:rsidRDefault="00A67B33" w:rsidP="00083D5B">
      <w:pPr>
        <w:rPr>
          <w:rFonts w:ascii="Times New Roman" w:hAnsi="Times New Roman" w:cs="Times New Roman"/>
        </w:rPr>
      </w:pPr>
      <w:r>
        <w:rPr>
          <w:rFonts w:ascii="Times New Roman" w:hAnsi="Times New Roman" w:cs="Times New Roman"/>
        </w:rPr>
        <w:t>It should be noted that MHRA does require an accounting of disclosures for all disclosures made without a patient’s consent. Under § 144.293, subdivision 9, in circumstances in which a provider “</w:t>
      </w:r>
      <w:r w:rsidRPr="00A67B33">
        <w:rPr>
          <w:rFonts w:ascii="Times New Roman" w:hAnsi="Times New Roman" w:cs="Times New Roman"/>
        </w:rPr>
        <w:t>releases health records without patient consent as authorized by law, the release must be documented in the patient's health record.</w:t>
      </w:r>
      <w:r>
        <w:rPr>
          <w:rFonts w:ascii="Times New Roman" w:hAnsi="Times New Roman" w:cs="Times New Roman"/>
        </w:rPr>
        <w:t>”</w:t>
      </w:r>
      <w:r>
        <w:rPr>
          <w:rStyle w:val="FootnoteReference"/>
          <w:rFonts w:ascii="Times New Roman" w:hAnsi="Times New Roman" w:cs="Times New Roman"/>
        </w:rPr>
        <w:footnoteReference w:id="31"/>
      </w:r>
      <w:r>
        <w:rPr>
          <w:rFonts w:ascii="Times New Roman" w:hAnsi="Times New Roman" w:cs="Times New Roman"/>
        </w:rPr>
        <w:t xml:space="preserve"> Therefore, </w:t>
      </w:r>
      <w:r w:rsidR="00E42F3E">
        <w:rPr>
          <w:rFonts w:ascii="Times New Roman" w:hAnsi="Times New Roman" w:cs="Times New Roman"/>
        </w:rPr>
        <w:t xml:space="preserve">hypothetically, </w:t>
      </w:r>
      <w:r>
        <w:rPr>
          <w:rFonts w:ascii="Times New Roman" w:hAnsi="Times New Roman" w:cs="Times New Roman"/>
        </w:rPr>
        <w:t xml:space="preserve">under MHRA, if a disclosure is made </w:t>
      </w:r>
      <w:r w:rsidR="00E42F3E">
        <w:rPr>
          <w:rFonts w:ascii="Times New Roman" w:hAnsi="Times New Roman" w:cs="Times New Roman"/>
        </w:rPr>
        <w:t xml:space="preserve">absent patient consent, </w:t>
      </w:r>
      <w:r>
        <w:rPr>
          <w:rFonts w:ascii="Times New Roman" w:hAnsi="Times New Roman" w:cs="Times New Roman"/>
        </w:rPr>
        <w:t xml:space="preserve">for the purpose of treatment, payment, or health care operations, there must be an accounting of that disclosure. </w:t>
      </w:r>
    </w:p>
    <w:p w14:paraId="7E5E9D47" w14:textId="77777777" w:rsidR="00A67B33" w:rsidRPr="00044C30" w:rsidRDefault="00A67B33" w:rsidP="00083D5B">
      <w:pPr>
        <w:rPr>
          <w:rFonts w:ascii="Times New Roman" w:hAnsi="Times New Roman" w:cs="Times New Roman"/>
        </w:rPr>
      </w:pPr>
    </w:p>
    <w:p w14:paraId="27D71FDE" w14:textId="776129D7" w:rsidR="00E9129C" w:rsidRDefault="00D63D9D" w:rsidP="00083D5B">
      <w:pPr>
        <w:rPr>
          <w:rFonts w:ascii="Times New Roman" w:hAnsi="Times New Roman" w:cs="Times New Roman"/>
          <w:b/>
        </w:rPr>
      </w:pPr>
      <w:r>
        <w:rPr>
          <w:rFonts w:ascii="Times New Roman" w:hAnsi="Times New Roman" w:cs="Times New Roman"/>
          <w:b/>
        </w:rPr>
        <w:t>Question 7</w:t>
      </w:r>
      <w:r w:rsidR="00E9129C">
        <w:rPr>
          <w:rFonts w:ascii="Times New Roman" w:hAnsi="Times New Roman" w:cs="Times New Roman"/>
          <w:b/>
        </w:rPr>
        <w:t>:</w:t>
      </w:r>
    </w:p>
    <w:p w14:paraId="5FBCA02F" w14:textId="77777777" w:rsidR="00746D8F" w:rsidRDefault="00746D8F" w:rsidP="00083D5B">
      <w:pPr>
        <w:rPr>
          <w:rFonts w:ascii="Times New Roman" w:hAnsi="Times New Roman" w:cs="Times New Roman"/>
          <w:b/>
        </w:rPr>
      </w:pPr>
    </w:p>
    <w:p w14:paraId="4E59F8D7" w14:textId="77777777" w:rsidR="0048263E" w:rsidRDefault="0048263E" w:rsidP="0048263E">
      <w:pPr>
        <w:rPr>
          <w:rFonts w:ascii="Times New Roman" w:hAnsi="Times New Roman" w:cs="Times New Roman"/>
          <w:b/>
        </w:rPr>
      </w:pPr>
      <w:r w:rsidRPr="00044C30">
        <w:rPr>
          <w:rFonts w:ascii="Times New Roman" w:hAnsi="Times New Roman" w:cs="Times New Roman"/>
          <w:b/>
        </w:rPr>
        <w:t>If the data is de</w:t>
      </w:r>
      <w:r>
        <w:rPr>
          <w:rFonts w:ascii="Times New Roman" w:hAnsi="Times New Roman" w:cs="Times New Roman"/>
          <w:b/>
        </w:rPr>
        <w:t>-</w:t>
      </w:r>
      <w:r w:rsidRPr="00044C30">
        <w:rPr>
          <w:rFonts w:ascii="Times New Roman" w:hAnsi="Times New Roman" w:cs="Times New Roman"/>
          <w:b/>
        </w:rPr>
        <w:t>identified under HIPAA is it still considered protected health information (PHI) and subject to the federal HIPAA rule?</w:t>
      </w:r>
      <w:r>
        <w:rPr>
          <w:rFonts w:ascii="Times New Roman" w:hAnsi="Times New Roman" w:cs="Times New Roman"/>
          <w:b/>
        </w:rPr>
        <w:t xml:space="preserve"> </w:t>
      </w:r>
    </w:p>
    <w:p w14:paraId="6CAC2AD7" w14:textId="77777777" w:rsidR="0048263E" w:rsidRPr="00044C30" w:rsidRDefault="0048263E" w:rsidP="0048263E">
      <w:pPr>
        <w:rPr>
          <w:rFonts w:ascii="Times New Roman" w:hAnsi="Times New Roman" w:cs="Times New Roman"/>
          <w:b/>
        </w:rPr>
      </w:pPr>
      <w:r>
        <w:rPr>
          <w:rFonts w:ascii="Times New Roman" w:hAnsi="Times New Roman" w:cs="Times New Roman"/>
          <w:b/>
        </w:rPr>
        <w:t>Are patients informed when their PHI is de-identified?</w:t>
      </w:r>
    </w:p>
    <w:p w14:paraId="11B61B83" w14:textId="77777777" w:rsidR="00083D5B" w:rsidRPr="00044C30" w:rsidRDefault="00083D5B" w:rsidP="00083D5B">
      <w:pPr>
        <w:rPr>
          <w:rFonts w:ascii="Times New Roman" w:hAnsi="Times New Roman" w:cs="Times New Roman"/>
        </w:rPr>
      </w:pPr>
    </w:p>
    <w:p w14:paraId="236C62AC" w14:textId="6306A1C9" w:rsidR="00697671" w:rsidRDefault="00083D5B" w:rsidP="00697671">
      <w:pPr>
        <w:rPr>
          <w:rFonts w:ascii="Times New Roman" w:hAnsi="Times New Roman" w:cs="Times New Roman"/>
        </w:rPr>
      </w:pPr>
      <w:r w:rsidRPr="00E9129C">
        <w:rPr>
          <w:rFonts w:ascii="Times New Roman" w:hAnsi="Times New Roman" w:cs="Times New Roman"/>
        </w:rPr>
        <w:t>According to the U.S. Department of Health and Human Services, de</w:t>
      </w:r>
      <w:r w:rsidR="00697671">
        <w:rPr>
          <w:rFonts w:ascii="Times New Roman" w:hAnsi="Times New Roman" w:cs="Times New Roman"/>
        </w:rPr>
        <w:t>-</w:t>
      </w:r>
      <w:r w:rsidRPr="00E9129C">
        <w:rPr>
          <w:rFonts w:ascii="Times New Roman" w:hAnsi="Times New Roman" w:cs="Times New Roman"/>
        </w:rPr>
        <w:t xml:space="preserve">identified data is no longer considered protected health information (PHI).  </w:t>
      </w:r>
      <w:r w:rsidR="005A5A0E">
        <w:rPr>
          <w:rFonts w:ascii="Times New Roman" w:hAnsi="Times New Roman" w:cs="Times New Roman"/>
        </w:rPr>
        <w:t xml:space="preserve">There does not appear to be any requirement to inform a patient when their PHI is de-identified, as it is no longer considered PHI. </w:t>
      </w:r>
      <w:r w:rsidRPr="00E9129C">
        <w:rPr>
          <w:rFonts w:ascii="Times New Roman" w:hAnsi="Times New Roman" w:cs="Times New Roman"/>
        </w:rPr>
        <w:t>Data can be de</w:t>
      </w:r>
      <w:r w:rsidR="00697671">
        <w:rPr>
          <w:rFonts w:ascii="Times New Roman" w:hAnsi="Times New Roman" w:cs="Times New Roman"/>
        </w:rPr>
        <w:t>-</w:t>
      </w:r>
      <w:r w:rsidRPr="00E9129C">
        <w:rPr>
          <w:rFonts w:ascii="Times New Roman" w:hAnsi="Times New Roman" w:cs="Times New Roman"/>
        </w:rPr>
        <w:t>identified in two ways, eith</w:t>
      </w:r>
      <w:r w:rsidR="00697671">
        <w:rPr>
          <w:rFonts w:ascii="Times New Roman" w:hAnsi="Times New Roman" w:cs="Times New Roman"/>
        </w:rPr>
        <w:t xml:space="preserve">er by a </w:t>
      </w:r>
      <w:r w:rsidRPr="00697671">
        <w:rPr>
          <w:rFonts w:ascii="Times New Roman" w:hAnsi="Times New Roman" w:cs="Times New Roman"/>
        </w:rPr>
        <w:t>formal deter</w:t>
      </w:r>
      <w:r w:rsidR="00697671">
        <w:rPr>
          <w:rFonts w:ascii="Times New Roman" w:hAnsi="Times New Roman" w:cs="Times New Roman"/>
        </w:rPr>
        <w:t xml:space="preserve">mination by a qualified expert, </w:t>
      </w:r>
      <w:r w:rsidRPr="00697671">
        <w:rPr>
          <w:rFonts w:ascii="Times New Roman" w:hAnsi="Times New Roman" w:cs="Times New Roman"/>
        </w:rPr>
        <w:t>or</w:t>
      </w:r>
      <w:r w:rsidR="00697671">
        <w:rPr>
          <w:rFonts w:ascii="Times New Roman" w:hAnsi="Times New Roman" w:cs="Times New Roman"/>
        </w:rPr>
        <w:t xml:space="preserve"> </w:t>
      </w:r>
      <w:r w:rsidRPr="00697671">
        <w:rPr>
          <w:rFonts w:ascii="Times New Roman" w:hAnsi="Times New Roman" w:cs="Times New Roman"/>
        </w:rPr>
        <w:t>the removal of s</w:t>
      </w:r>
      <w:r w:rsidR="002A7EE9" w:rsidRPr="00697671">
        <w:rPr>
          <w:rFonts w:ascii="Times New Roman" w:hAnsi="Times New Roman" w:cs="Times New Roman"/>
        </w:rPr>
        <w:t>pecified individual identifiers</w:t>
      </w:r>
      <w:r w:rsidR="00697671" w:rsidRPr="00697671">
        <w:rPr>
          <w:rFonts w:ascii="Times New Roman" w:hAnsi="Times New Roman" w:cs="Times New Roman"/>
        </w:rPr>
        <w:t>.</w:t>
      </w:r>
      <w:r w:rsidR="005A5A0E" w:rsidRPr="005A5A0E">
        <w:rPr>
          <w:rFonts w:ascii="Times New Roman" w:hAnsi="Times New Roman" w:cs="Times New Roman"/>
        </w:rPr>
        <w:t xml:space="preserve"> </w:t>
      </w:r>
    </w:p>
    <w:p w14:paraId="4ECDF599" w14:textId="32122DDD" w:rsidR="00697671" w:rsidRDefault="00697671" w:rsidP="00697671">
      <w:pPr>
        <w:jc w:val="center"/>
        <w:rPr>
          <w:rFonts w:eastAsia="Times New Roman"/>
        </w:rPr>
      </w:pPr>
      <w:r>
        <w:rPr>
          <w:rFonts w:eastAsia="Times New Roman"/>
          <w:noProof/>
        </w:rPr>
        <w:lastRenderedPageBreak/>
        <w:drawing>
          <wp:inline distT="0" distB="0" distL="0" distR="0" wp14:anchorId="67A562D8" wp14:editId="726878BD">
            <wp:extent cx="3074035" cy="2494861"/>
            <wp:effectExtent l="0" t="0" r="0" b="1270"/>
            <wp:docPr id="4" name="Picture 4" descr="Chart displaying HIPAA Privacy Rule De-identification metho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hs.gov/sites/default/files/ocr/images/deidentification_fig_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7875" cy="2522325"/>
                    </a:xfrm>
                    <a:prstGeom prst="rect">
                      <a:avLst/>
                    </a:prstGeom>
                    <a:noFill/>
                    <a:ln>
                      <a:noFill/>
                    </a:ln>
                  </pic:spPr>
                </pic:pic>
              </a:graphicData>
            </a:graphic>
          </wp:inline>
        </w:drawing>
      </w:r>
      <w:r w:rsidR="00C9002D">
        <w:rPr>
          <w:rStyle w:val="FootnoteReference"/>
          <w:rFonts w:eastAsia="Times New Roman"/>
        </w:rPr>
        <w:footnoteReference w:id="32"/>
      </w:r>
    </w:p>
    <w:p w14:paraId="0FFD1BFF" w14:textId="77777777" w:rsidR="00697671" w:rsidRPr="00697671" w:rsidRDefault="00697671" w:rsidP="00697671">
      <w:pPr>
        <w:rPr>
          <w:rFonts w:ascii="Times New Roman" w:hAnsi="Times New Roman" w:cs="Times New Roman"/>
        </w:rPr>
      </w:pPr>
    </w:p>
    <w:p w14:paraId="3BF3CCA5" w14:textId="51061D60" w:rsidR="00056508" w:rsidRPr="002A7EE9" w:rsidRDefault="00CA4DF8" w:rsidP="002A7EE9">
      <w:pPr>
        <w:rPr>
          <w:rFonts w:ascii="Times New Roman" w:hAnsi="Times New Roman" w:cs="Times New Roman"/>
        </w:rPr>
      </w:pPr>
      <w:r>
        <w:rPr>
          <w:rFonts w:ascii="Times New Roman" w:hAnsi="Times New Roman" w:cs="Times New Roman"/>
        </w:rPr>
        <w:t>The expert method for de-identification requires that experts use a series of principles to determine if the information is identifiable. These principles include replicability, data source availability, distinguishability, and assess risk.</w:t>
      </w:r>
      <w:r>
        <w:rPr>
          <w:rStyle w:val="FootnoteReference"/>
          <w:rFonts w:ascii="Times New Roman" w:hAnsi="Times New Roman" w:cs="Times New Roman"/>
        </w:rPr>
        <w:footnoteReference w:id="33"/>
      </w:r>
      <w:r>
        <w:rPr>
          <w:rFonts w:ascii="Times New Roman" w:hAnsi="Times New Roman" w:cs="Times New Roman"/>
        </w:rPr>
        <w:t xml:space="preserve"> Under the safe harbor standard, </w:t>
      </w:r>
      <w:r w:rsidR="00995DCD">
        <w:rPr>
          <w:rFonts w:ascii="Times New Roman" w:hAnsi="Times New Roman" w:cs="Times New Roman"/>
        </w:rPr>
        <w:t xml:space="preserve">the covered </w:t>
      </w:r>
      <w:r w:rsidR="00E906E9">
        <w:rPr>
          <w:rFonts w:ascii="Times New Roman" w:hAnsi="Times New Roman" w:cs="Times New Roman"/>
        </w:rPr>
        <w:t xml:space="preserve">entity </w:t>
      </w:r>
      <w:r w:rsidR="00995DCD">
        <w:rPr>
          <w:rFonts w:ascii="Times New Roman" w:hAnsi="Times New Roman" w:cs="Times New Roman"/>
        </w:rPr>
        <w:t>must remove 18 identifiers, and must not have knowledge that the information could be used alone or in combination with other information to identify the individual. Therefore, a</w:t>
      </w:r>
      <w:r w:rsidR="002A7EE9">
        <w:rPr>
          <w:rFonts w:ascii="Times New Roman" w:hAnsi="Times New Roman" w:cs="Times New Roman"/>
        </w:rPr>
        <w:t>lthough</w:t>
      </w:r>
      <w:r w:rsidR="00083D5B" w:rsidRPr="002A7EE9">
        <w:rPr>
          <w:rFonts w:ascii="Times New Roman" w:hAnsi="Times New Roman" w:cs="Times New Roman"/>
        </w:rPr>
        <w:t xml:space="preserve"> de</w:t>
      </w:r>
      <w:r w:rsidR="00697671">
        <w:rPr>
          <w:rFonts w:ascii="Times New Roman" w:hAnsi="Times New Roman" w:cs="Times New Roman"/>
        </w:rPr>
        <w:t>-</w:t>
      </w:r>
      <w:r w:rsidR="00083D5B" w:rsidRPr="002A7EE9">
        <w:rPr>
          <w:rFonts w:ascii="Times New Roman" w:hAnsi="Times New Roman" w:cs="Times New Roman"/>
        </w:rPr>
        <w:t>identified information retains a small risk of identification, especially when combined with other</w:t>
      </w:r>
      <w:r w:rsidR="007A391E">
        <w:rPr>
          <w:rFonts w:ascii="Times New Roman" w:hAnsi="Times New Roman" w:cs="Times New Roman"/>
        </w:rPr>
        <w:t xml:space="preserve"> </w:t>
      </w:r>
      <w:r w:rsidR="00083D5B" w:rsidRPr="002A7EE9">
        <w:rPr>
          <w:rFonts w:ascii="Times New Roman" w:hAnsi="Times New Roman" w:cs="Times New Roman"/>
        </w:rPr>
        <w:t>information, it is considered de</w:t>
      </w:r>
      <w:r w:rsidR="00697671">
        <w:rPr>
          <w:rFonts w:ascii="Times New Roman" w:hAnsi="Times New Roman" w:cs="Times New Roman"/>
        </w:rPr>
        <w:t>-</w:t>
      </w:r>
      <w:r w:rsidR="00083D5B" w:rsidRPr="002A7EE9">
        <w:rPr>
          <w:rFonts w:ascii="Times New Roman" w:hAnsi="Times New Roman" w:cs="Times New Roman"/>
        </w:rPr>
        <w:t>identified so long as the covered entity does not know how the information may be used to identify the individual.</w:t>
      </w:r>
      <w:r w:rsidR="00083D5B" w:rsidRPr="00044C30">
        <w:rPr>
          <w:rStyle w:val="FootnoteReference"/>
          <w:rFonts w:ascii="Times New Roman" w:hAnsi="Times New Roman" w:cs="Times New Roman"/>
        </w:rPr>
        <w:footnoteReference w:id="34"/>
      </w:r>
      <w:r w:rsidR="00083D5B" w:rsidRPr="002A7EE9">
        <w:rPr>
          <w:rFonts w:ascii="Times New Roman" w:hAnsi="Times New Roman" w:cs="Times New Roman"/>
        </w:rPr>
        <w:t xml:space="preserve"> </w:t>
      </w:r>
    </w:p>
    <w:p w14:paraId="44DFE91C" w14:textId="77777777" w:rsidR="00083D5B" w:rsidRDefault="00083D5B" w:rsidP="00083D5B">
      <w:pPr>
        <w:rPr>
          <w:rFonts w:ascii="Times New Roman" w:hAnsi="Times New Roman" w:cs="Times New Roman"/>
        </w:rPr>
      </w:pPr>
    </w:p>
    <w:p w14:paraId="625A074F" w14:textId="533244B8" w:rsidR="00746D8F" w:rsidRPr="00746D8F" w:rsidRDefault="00D63D9D" w:rsidP="00083D5B">
      <w:pPr>
        <w:rPr>
          <w:rFonts w:ascii="Times New Roman" w:hAnsi="Times New Roman" w:cs="Times New Roman"/>
          <w:b/>
        </w:rPr>
      </w:pPr>
      <w:r>
        <w:rPr>
          <w:rFonts w:ascii="Times New Roman" w:hAnsi="Times New Roman" w:cs="Times New Roman"/>
          <w:b/>
        </w:rPr>
        <w:t>Question 8</w:t>
      </w:r>
      <w:r w:rsidR="00746D8F" w:rsidRPr="005836C5">
        <w:rPr>
          <w:rFonts w:ascii="Times New Roman" w:hAnsi="Times New Roman" w:cs="Times New Roman"/>
          <w:b/>
        </w:rPr>
        <w:t>:</w:t>
      </w:r>
      <w:r w:rsidR="00746D8F" w:rsidRPr="00746D8F">
        <w:rPr>
          <w:rFonts w:ascii="Times New Roman" w:hAnsi="Times New Roman" w:cs="Times New Roman"/>
          <w:b/>
        </w:rPr>
        <w:t xml:space="preserve"> </w:t>
      </w:r>
    </w:p>
    <w:p w14:paraId="0986671B" w14:textId="77777777" w:rsidR="00746D8F" w:rsidRDefault="00746D8F" w:rsidP="00083D5B">
      <w:pPr>
        <w:rPr>
          <w:rFonts w:ascii="Times New Roman" w:hAnsi="Times New Roman" w:cs="Times New Roman"/>
          <w:b/>
        </w:rPr>
      </w:pPr>
    </w:p>
    <w:p w14:paraId="5CFEB6C7" w14:textId="77777777" w:rsidR="00083D5B" w:rsidRPr="00044C30" w:rsidRDefault="00083D5B" w:rsidP="00083D5B">
      <w:pPr>
        <w:rPr>
          <w:rFonts w:ascii="Times New Roman" w:hAnsi="Times New Roman" w:cs="Times New Roman"/>
        </w:rPr>
      </w:pPr>
      <w:r w:rsidRPr="00044C30">
        <w:rPr>
          <w:rFonts w:ascii="Times New Roman" w:hAnsi="Times New Roman" w:cs="Times New Roman"/>
          <w:b/>
        </w:rPr>
        <w:t xml:space="preserve">If Minnesota reverts to the “HIPAA data-sharing standard” how will patients be informed that they no longer have the privacy rights and consent requirements? </w:t>
      </w:r>
    </w:p>
    <w:p w14:paraId="32B6E7CE" w14:textId="21829C86" w:rsidR="00083D5B" w:rsidRDefault="00083D5B" w:rsidP="00083D5B">
      <w:pPr>
        <w:rPr>
          <w:rFonts w:ascii="Times New Roman" w:hAnsi="Times New Roman" w:cs="Times New Roman"/>
        </w:rPr>
      </w:pPr>
    </w:p>
    <w:p w14:paraId="54842886" w14:textId="4F5862FC" w:rsidR="00395327" w:rsidRPr="00395327" w:rsidRDefault="00395327" w:rsidP="00395327">
      <w:pPr>
        <w:rPr>
          <w:rFonts w:ascii="Times New Roman" w:hAnsi="Times New Roman" w:cs="Times New Roman"/>
        </w:rPr>
      </w:pPr>
      <w:r w:rsidRPr="00395327">
        <w:rPr>
          <w:rFonts w:ascii="Times New Roman" w:hAnsi="Times New Roman" w:cs="Times New Roman"/>
        </w:rPr>
        <w:t xml:space="preserve">Currently, </w:t>
      </w:r>
      <w:r>
        <w:rPr>
          <w:rFonts w:ascii="Times New Roman" w:hAnsi="Times New Roman" w:cs="Times New Roman"/>
        </w:rPr>
        <w:t xml:space="preserve">§ </w:t>
      </w:r>
      <w:r w:rsidRPr="00395327">
        <w:rPr>
          <w:rFonts w:ascii="Times New Roman" w:hAnsi="Times New Roman" w:cs="Times New Roman"/>
        </w:rPr>
        <w:t>144.292, subdivision 4, of the MHRA requires providers to give patients notice concerning practices and rights with respe</w:t>
      </w:r>
      <w:r w:rsidR="001026A7">
        <w:rPr>
          <w:rFonts w:ascii="Times New Roman" w:hAnsi="Times New Roman" w:cs="Times New Roman"/>
        </w:rPr>
        <w:t>ct to access to health records.</w:t>
      </w:r>
      <w:r w:rsidRPr="00395327">
        <w:rPr>
          <w:rFonts w:ascii="Times New Roman" w:hAnsi="Times New Roman" w:cs="Times New Roman"/>
        </w:rPr>
        <w:t xml:space="preserve"> This notice may be displayed in the provider’s office or a copy </w:t>
      </w:r>
      <w:r w:rsidR="001026A7">
        <w:rPr>
          <w:rFonts w:ascii="Times New Roman" w:hAnsi="Times New Roman" w:cs="Times New Roman"/>
        </w:rPr>
        <w:t xml:space="preserve">may be given to a new patient. </w:t>
      </w:r>
      <w:r w:rsidRPr="00395327">
        <w:rPr>
          <w:rFonts w:ascii="Times New Roman" w:hAnsi="Times New Roman" w:cs="Times New Roman"/>
        </w:rPr>
        <w:t xml:space="preserve">The notice must </w:t>
      </w:r>
      <w:r w:rsidRPr="00395327">
        <w:rPr>
          <w:rFonts w:ascii="Times New Roman" w:hAnsi="Times New Roman" w:cs="Times New Roman"/>
        </w:rPr>
        <w:lastRenderedPageBreak/>
        <w:t xml:space="preserve">include an explanation of disclosures that the provider may make without the </w:t>
      </w:r>
      <w:r w:rsidR="001026A7">
        <w:rPr>
          <w:rFonts w:ascii="Times New Roman" w:hAnsi="Times New Roman" w:cs="Times New Roman"/>
        </w:rPr>
        <w:t>written consent of the patient.</w:t>
      </w:r>
      <w:r w:rsidRPr="00395327">
        <w:rPr>
          <w:rFonts w:ascii="Times New Roman" w:hAnsi="Times New Roman" w:cs="Times New Roman"/>
        </w:rPr>
        <w:t xml:space="preserve"> In addition, the statute requires the commissioner of health to develop the notice.  </w:t>
      </w:r>
      <w:r w:rsidR="00C3229F">
        <w:rPr>
          <w:rFonts w:ascii="Times New Roman" w:hAnsi="Times New Roman" w:cs="Times New Roman"/>
        </w:rPr>
        <w:t xml:space="preserve">The current notice can be found here, </w:t>
      </w:r>
      <w:hyperlink r:id="rId14" w:history="1">
        <w:r w:rsidR="00C3229F" w:rsidRPr="000B30D2">
          <w:rPr>
            <w:rStyle w:val="Hyperlink"/>
            <w:rFonts w:ascii="Times New Roman" w:hAnsi="Times New Roman" w:cs="Times New Roman"/>
          </w:rPr>
          <w:t>http://www.health.state.mn.us/divs/hpsc/dap/notice.pdf</w:t>
        </w:r>
      </w:hyperlink>
      <w:r w:rsidR="00C3229F">
        <w:rPr>
          <w:rFonts w:ascii="Times New Roman" w:hAnsi="Times New Roman" w:cs="Times New Roman"/>
        </w:rPr>
        <w:t xml:space="preserve">. </w:t>
      </w:r>
    </w:p>
    <w:p w14:paraId="6D137791" w14:textId="77777777" w:rsidR="00395327" w:rsidRPr="00395327" w:rsidRDefault="00395327" w:rsidP="00395327">
      <w:pPr>
        <w:rPr>
          <w:rFonts w:ascii="Times New Roman" w:hAnsi="Times New Roman" w:cs="Times New Roman"/>
        </w:rPr>
      </w:pPr>
    </w:p>
    <w:p w14:paraId="2ABB78CD" w14:textId="13DD6D68" w:rsidR="00395327" w:rsidRPr="00395327" w:rsidRDefault="00395327" w:rsidP="00395327">
      <w:pPr>
        <w:rPr>
          <w:rFonts w:ascii="Times New Roman" w:hAnsi="Times New Roman" w:cs="Times New Roman"/>
        </w:rPr>
      </w:pPr>
      <w:r w:rsidRPr="00395327">
        <w:rPr>
          <w:rFonts w:ascii="Times New Roman" w:hAnsi="Times New Roman" w:cs="Times New Roman"/>
        </w:rPr>
        <w:t>Current law does not require existing patients to be notified whenever the legislature amends the Minnesota Health Records Act.  Unless the new law requires an additional patient notification, the curr</w:t>
      </w:r>
      <w:r w:rsidR="001026A7">
        <w:rPr>
          <w:rFonts w:ascii="Times New Roman" w:hAnsi="Times New Roman" w:cs="Times New Roman"/>
        </w:rPr>
        <w:t>ent provisions of</w:t>
      </w:r>
      <w:r w:rsidRPr="00395327">
        <w:rPr>
          <w:rFonts w:ascii="Times New Roman" w:hAnsi="Times New Roman" w:cs="Times New Roman"/>
        </w:rPr>
        <w:t xml:space="preserve"> </w:t>
      </w:r>
      <w:r w:rsidR="00475E0B">
        <w:rPr>
          <w:rFonts w:ascii="Times New Roman" w:hAnsi="Times New Roman" w:cs="Times New Roman"/>
        </w:rPr>
        <w:t>§</w:t>
      </w:r>
      <w:r w:rsidRPr="00395327">
        <w:rPr>
          <w:rFonts w:ascii="Times New Roman" w:hAnsi="Times New Roman" w:cs="Times New Roman"/>
        </w:rPr>
        <w:t xml:space="preserve"> 144.292, subdivision 4, will apply. A provider may, however, choose to notify existing patients regarding</w:t>
      </w:r>
      <w:r w:rsidR="00953A4D">
        <w:rPr>
          <w:rFonts w:ascii="Times New Roman" w:hAnsi="Times New Roman" w:cs="Times New Roman"/>
        </w:rPr>
        <w:t xml:space="preserve"> the change, but this would be </w:t>
      </w:r>
      <w:r w:rsidRPr="00395327">
        <w:rPr>
          <w:rFonts w:ascii="Times New Roman" w:hAnsi="Times New Roman" w:cs="Times New Roman"/>
        </w:rPr>
        <w:t xml:space="preserve">determined by the individual provider. </w:t>
      </w:r>
    </w:p>
    <w:p w14:paraId="28DE2846" w14:textId="77777777" w:rsidR="00083D5B" w:rsidRDefault="00083D5B" w:rsidP="00083D5B">
      <w:pPr>
        <w:rPr>
          <w:rFonts w:ascii="Times New Roman" w:hAnsi="Times New Roman" w:cs="Times New Roman"/>
          <w:b/>
        </w:rPr>
      </w:pPr>
    </w:p>
    <w:p w14:paraId="30625C68" w14:textId="4A52AE17" w:rsidR="006A61DA" w:rsidRDefault="00D63D9D" w:rsidP="00083D5B">
      <w:pPr>
        <w:rPr>
          <w:rFonts w:ascii="Times New Roman" w:hAnsi="Times New Roman" w:cs="Times New Roman"/>
          <w:b/>
        </w:rPr>
      </w:pPr>
      <w:r>
        <w:rPr>
          <w:rFonts w:ascii="Times New Roman" w:hAnsi="Times New Roman" w:cs="Times New Roman"/>
          <w:b/>
        </w:rPr>
        <w:t>Question 9</w:t>
      </w:r>
      <w:r w:rsidR="006A61DA" w:rsidRPr="0084741E">
        <w:rPr>
          <w:rFonts w:ascii="Times New Roman" w:hAnsi="Times New Roman" w:cs="Times New Roman"/>
          <w:b/>
        </w:rPr>
        <w:t>:</w:t>
      </w:r>
      <w:r w:rsidR="006A61DA">
        <w:rPr>
          <w:rFonts w:ascii="Times New Roman" w:hAnsi="Times New Roman" w:cs="Times New Roman"/>
          <w:b/>
        </w:rPr>
        <w:t xml:space="preserve"> </w:t>
      </w:r>
    </w:p>
    <w:p w14:paraId="487FBE9F" w14:textId="77777777" w:rsidR="006A61DA" w:rsidRPr="00044C30" w:rsidRDefault="006A61DA" w:rsidP="00083D5B">
      <w:pPr>
        <w:rPr>
          <w:rFonts w:ascii="Times New Roman" w:hAnsi="Times New Roman" w:cs="Times New Roman"/>
          <w:b/>
        </w:rPr>
      </w:pPr>
    </w:p>
    <w:p w14:paraId="6DBBCE8F" w14:textId="77777777" w:rsidR="00083D5B" w:rsidRPr="00044C30" w:rsidRDefault="00083D5B" w:rsidP="00083D5B">
      <w:pPr>
        <w:rPr>
          <w:rFonts w:ascii="Times New Roman" w:hAnsi="Times New Roman" w:cs="Times New Roman"/>
          <w:b/>
          <w:color w:val="FF0000"/>
        </w:rPr>
      </w:pPr>
      <w:r w:rsidRPr="00044C30">
        <w:rPr>
          <w:rFonts w:ascii="Times New Roman" w:hAnsi="Times New Roman" w:cs="Times New Roman"/>
          <w:b/>
        </w:rPr>
        <w:t>What do hospitals, clinics, physicians, and providers currently do when a patient does not give consent for sharing of personal health information for treatment, payment, and operations?</w:t>
      </w:r>
      <w:r w:rsidRPr="00044C30">
        <w:rPr>
          <w:rFonts w:ascii="Times New Roman" w:hAnsi="Times New Roman" w:cs="Times New Roman"/>
          <w:b/>
          <w:color w:val="FF0000"/>
        </w:rPr>
        <w:t xml:space="preserve"> </w:t>
      </w:r>
    </w:p>
    <w:p w14:paraId="08E97864" w14:textId="77777777" w:rsidR="00965F51" w:rsidRDefault="00965F51" w:rsidP="00965F51">
      <w:pPr>
        <w:rPr>
          <w:rFonts w:ascii="Times New Roman" w:hAnsi="Times New Roman" w:cs="Times New Roman"/>
        </w:rPr>
      </w:pPr>
    </w:p>
    <w:p w14:paraId="0130FCC2" w14:textId="7250E67D" w:rsidR="00965F51" w:rsidRDefault="00083D5B" w:rsidP="00965F51">
      <w:pPr>
        <w:rPr>
          <w:rFonts w:ascii="Times New Roman" w:hAnsi="Times New Roman" w:cs="Times New Roman"/>
        </w:rPr>
      </w:pPr>
      <w:r w:rsidRPr="00965F51">
        <w:rPr>
          <w:rFonts w:ascii="Times New Roman" w:hAnsi="Times New Roman" w:cs="Times New Roman"/>
        </w:rPr>
        <w:t>Without consent, or an applicable exception to the consent requirement, the provider is prohibited from sharing records.</w:t>
      </w:r>
      <w:r w:rsidR="00965F51">
        <w:rPr>
          <w:rFonts w:ascii="Times New Roman" w:hAnsi="Times New Roman" w:cs="Times New Roman"/>
        </w:rPr>
        <w:t xml:space="preserve"> </w:t>
      </w:r>
      <w:r w:rsidRPr="00965F51">
        <w:rPr>
          <w:rFonts w:ascii="Times New Roman" w:hAnsi="Times New Roman" w:cs="Times New Roman"/>
        </w:rPr>
        <w:t>A health care provider or covered entity, subject to state law and HIPAA, must follow the law that is</w:t>
      </w:r>
      <w:r w:rsidR="0084741E">
        <w:rPr>
          <w:rFonts w:ascii="Times New Roman" w:hAnsi="Times New Roman" w:cs="Times New Roman"/>
        </w:rPr>
        <w:t xml:space="preserve"> most restrictive when handling PHI</w:t>
      </w:r>
      <w:r w:rsidRPr="00965F51">
        <w:rPr>
          <w:rFonts w:ascii="Times New Roman" w:hAnsi="Times New Roman" w:cs="Times New Roman"/>
        </w:rPr>
        <w:t xml:space="preserve">. However, if there is no state law, or the state law is the same or less restrictive than HIPAA, </w:t>
      </w:r>
      <w:r w:rsidR="0084741E">
        <w:rPr>
          <w:rFonts w:ascii="Times New Roman" w:hAnsi="Times New Roman" w:cs="Times New Roman"/>
        </w:rPr>
        <w:t>the</w:t>
      </w:r>
      <w:r w:rsidRPr="00965F51">
        <w:rPr>
          <w:rFonts w:ascii="Times New Roman" w:hAnsi="Times New Roman" w:cs="Times New Roman"/>
        </w:rPr>
        <w:t xml:space="preserve"> covered entity must default to HIPAA’</w:t>
      </w:r>
      <w:r w:rsidR="0084741E">
        <w:rPr>
          <w:rFonts w:ascii="Times New Roman" w:hAnsi="Times New Roman" w:cs="Times New Roman"/>
        </w:rPr>
        <w:t>s standard for disclosure. If the covered entity does default to HIPAA</w:t>
      </w:r>
      <w:r w:rsidRPr="00965F51">
        <w:rPr>
          <w:rFonts w:ascii="Times New Roman" w:hAnsi="Times New Roman" w:cs="Times New Roman"/>
        </w:rPr>
        <w:t xml:space="preserve">, the </w:t>
      </w:r>
      <w:r w:rsidR="0084741E">
        <w:rPr>
          <w:rFonts w:ascii="Times New Roman" w:hAnsi="Times New Roman" w:cs="Times New Roman"/>
        </w:rPr>
        <w:t>covered</w:t>
      </w:r>
      <w:r w:rsidRPr="00965F51">
        <w:rPr>
          <w:rFonts w:ascii="Times New Roman" w:hAnsi="Times New Roman" w:cs="Times New Roman"/>
        </w:rPr>
        <w:t xml:space="preserve"> entity may disclose </w:t>
      </w:r>
      <w:r w:rsidR="0084741E">
        <w:rPr>
          <w:rFonts w:ascii="Times New Roman" w:hAnsi="Times New Roman" w:cs="Times New Roman"/>
        </w:rPr>
        <w:t xml:space="preserve">PHI </w:t>
      </w:r>
      <w:r w:rsidRPr="00965F51">
        <w:rPr>
          <w:rFonts w:ascii="Times New Roman" w:hAnsi="Times New Roman" w:cs="Times New Roman"/>
        </w:rPr>
        <w:t xml:space="preserve">for the purpose of treatment, payment, and health care operations. </w:t>
      </w:r>
    </w:p>
    <w:p w14:paraId="24A7499D" w14:textId="77777777" w:rsidR="00A33A6D" w:rsidRDefault="00A33A6D" w:rsidP="00965F51">
      <w:pPr>
        <w:rPr>
          <w:rFonts w:ascii="Times New Roman" w:hAnsi="Times New Roman" w:cs="Times New Roman"/>
        </w:rPr>
      </w:pPr>
    </w:p>
    <w:p w14:paraId="78D527A2" w14:textId="26C91CCC" w:rsidR="00083D5B" w:rsidRPr="00044C30" w:rsidRDefault="00083D5B" w:rsidP="00965F51">
      <w:pPr>
        <w:rPr>
          <w:rFonts w:ascii="Times New Roman" w:hAnsi="Times New Roman" w:cs="Times New Roman"/>
          <w:i/>
          <w:color w:val="FF0000"/>
        </w:rPr>
      </w:pPr>
      <w:r w:rsidRPr="00965F51">
        <w:rPr>
          <w:rFonts w:ascii="Times New Roman" w:hAnsi="Times New Roman" w:cs="Times New Roman"/>
        </w:rPr>
        <w:t>If a state law</w:t>
      </w:r>
      <w:r w:rsidR="00194C97">
        <w:rPr>
          <w:rFonts w:ascii="Times New Roman" w:hAnsi="Times New Roman" w:cs="Times New Roman"/>
        </w:rPr>
        <w:t>, like MHRA,</w:t>
      </w:r>
      <w:r w:rsidRPr="00965F51">
        <w:rPr>
          <w:rFonts w:ascii="Times New Roman" w:hAnsi="Times New Roman" w:cs="Times New Roman"/>
        </w:rPr>
        <w:t xml:space="preserve"> is more restrictive than HIPAA, and does not have exceptions for treatment,</w:t>
      </w:r>
      <w:r w:rsidR="006A18B3">
        <w:rPr>
          <w:rFonts w:ascii="Times New Roman" w:hAnsi="Times New Roman" w:cs="Times New Roman"/>
        </w:rPr>
        <w:t xml:space="preserve"> payment,</w:t>
      </w:r>
      <w:r w:rsidRPr="00965F51">
        <w:rPr>
          <w:rFonts w:ascii="Times New Roman" w:hAnsi="Times New Roman" w:cs="Times New Roman"/>
        </w:rPr>
        <w:t xml:space="preserve"> and</w:t>
      </w:r>
      <w:r w:rsidR="006A18B3">
        <w:rPr>
          <w:rFonts w:ascii="Times New Roman" w:hAnsi="Times New Roman" w:cs="Times New Roman"/>
        </w:rPr>
        <w:t xml:space="preserve"> health care</w:t>
      </w:r>
      <w:r w:rsidRPr="00965F51">
        <w:rPr>
          <w:rFonts w:ascii="Times New Roman" w:hAnsi="Times New Roman" w:cs="Times New Roman"/>
        </w:rPr>
        <w:t xml:space="preserve"> operations, then the covered entity may not </w:t>
      </w:r>
      <w:r w:rsidR="006A18B3">
        <w:rPr>
          <w:rFonts w:ascii="Times New Roman" w:hAnsi="Times New Roman" w:cs="Times New Roman"/>
        </w:rPr>
        <w:t>disclose PHI</w:t>
      </w:r>
      <w:r w:rsidR="001B4AB3">
        <w:rPr>
          <w:rFonts w:ascii="Times New Roman" w:hAnsi="Times New Roman" w:cs="Times New Roman"/>
        </w:rPr>
        <w:t xml:space="preserve"> for these purposes</w:t>
      </w:r>
      <w:r w:rsidR="007C2A8B">
        <w:rPr>
          <w:rFonts w:ascii="Times New Roman" w:hAnsi="Times New Roman" w:cs="Times New Roman"/>
        </w:rPr>
        <w:t>.</w:t>
      </w:r>
    </w:p>
    <w:p w14:paraId="245E5BF4" w14:textId="77777777" w:rsidR="00083D5B" w:rsidRDefault="00083D5B" w:rsidP="00083D5B">
      <w:pPr>
        <w:rPr>
          <w:rFonts w:ascii="Times New Roman" w:hAnsi="Times New Roman" w:cs="Times New Roman"/>
          <w:b/>
        </w:rPr>
      </w:pPr>
    </w:p>
    <w:p w14:paraId="7A1EDA4C" w14:textId="37421049" w:rsidR="00BB16EF" w:rsidRDefault="00D63D9D" w:rsidP="00083D5B">
      <w:pPr>
        <w:rPr>
          <w:rFonts w:ascii="Times New Roman" w:hAnsi="Times New Roman" w:cs="Times New Roman"/>
          <w:b/>
        </w:rPr>
      </w:pPr>
      <w:r>
        <w:rPr>
          <w:rFonts w:ascii="Times New Roman" w:hAnsi="Times New Roman" w:cs="Times New Roman"/>
          <w:b/>
        </w:rPr>
        <w:t>Question 10</w:t>
      </w:r>
      <w:r w:rsidR="00BB16EF">
        <w:rPr>
          <w:rFonts w:ascii="Times New Roman" w:hAnsi="Times New Roman" w:cs="Times New Roman"/>
          <w:b/>
        </w:rPr>
        <w:t>:</w:t>
      </w:r>
    </w:p>
    <w:p w14:paraId="0CA993DE" w14:textId="77777777" w:rsidR="00BB16EF" w:rsidRPr="00044C30" w:rsidRDefault="00BB16EF" w:rsidP="00083D5B">
      <w:pPr>
        <w:rPr>
          <w:rFonts w:ascii="Times New Roman" w:hAnsi="Times New Roman" w:cs="Times New Roman"/>
          <w:b/>
        </w:rPr>
      </w:pPr>
    </w:p>
    <w:p w14:paraId="2EF46135" w14:textId="128DE057" w:rsidR="007026B5" w:rsidRPr="007026B5" w:rsidRDefault="00083D5B" w:rsidP="00083D5B">
      <w:pPr>
        <w:rPr>
          <w:rFonts w:ascii="Times New Roman" w:hAnsi="Times New Roman" w:cs="Times New Roman"/>
        </w:rPr>
      </w:pPr>
      <w:r w:rsidRPr="00044C30">
        <w:rPr>
          <w:rFonts w:ascii="Times New Roman" w:hAnsi="Times New Roman" w:cs="Times New Roman"/>
          <w:b/>
        </w:rPr>
        <w:t>How many hospital and clinic consent forms include consent for data-sharing on the same form as the consent for treatment? Is there one signature or separate signatures?</w:t>
      </w:r>
      <w:r w:rsidRPr="00044C30">
        <w:rPr>
          <w:rFonts w:ascii="Times New Roman" w:hAnsi="Times New Roman" w:cs="Times New Roman"/>
        </w:rPr>
        <w:t xml:space="preserve"> </w:t>
      </w:r>
    </w:p>
    <w:p w14:paraId="7464470C" w14:textId="77777777" w:rsidR="00D06446" w:rsidRDefault="00D06446" w:rsidP="00D06446">
      <w:pPr>
        <w:rPr>
          <w:rFonts w:ascii="Times New Roman" w:hAnsi="Times New Roman" w:cs="Times New Roman"/>
        </w:rPr>
      </w:pPr>
    </w:p>
    <w:p w14:paraId="645AB81D" w14:textId="3D625430" w:rsidR="00666A83" w:rsidRDefault="00426ACD" w:rsidP="00D06446">
      <w:pPr>
        <w:rPr>
          <w:rFonts w:ascii="Times New Roman" w:hAnsi="Times New Roman" w:cs="Times New Roman"/>
        </w:rPr>
      </w:pPr>
      <w:r>
        <w:rPr>
          <w:rFonts w:ascii="Times New Roman" w:hAnsi="Times New Roman" w:cs="Times New Roman"/>
        </w:rPr>
        <w:t>There is no information, readily available, that de</w:t>
      </w:r>
      <w:r w:rsidR="0089061C">
        <w:rPr>
          <w:rFonts w:ascii="Times New Roman" w:hAnsi="Times New Roman" w:cs="Times New Roman"/>
        </w:rPr>
        <w:t xml:space="preserve">termines </w:t>
      </w:r>
      <w:r>
        <w:rPr>
          <w:rFonts w:ascii="Times New Roman" w:hAnsi="Times New Roman" w:cs="Times New Roman"/>
        </w:rPr>
        <w:t xml:space="preserve">how many health care providers have forms that include consent for data sharing, or how many signatures are obtained in the </w:t>
      </w:r>
      <w:r>
        <w:rPr>
          <w:rFonts w:ascii="Times New Roman" w:hAnsi="Times New Roman" w:cs="Times New Roman"/>
        </w:rPr>
        <w:lastRenderedPageBreak/>
        <w:t xml:space="preserve">process of gaining consent. This would require a study of </w:t>
      </w:r>
      <w:r w:rsidR="0089061C">
        <w:rPr>
          <w:rFonts w:ascii="Times New Roman" w:hAnsi="Times New Roman" w:cs="Times New Roman"/>
        </w:rPr>
        <w:t xml:space="preserve">the policies and procedures of every hospital, clinic, etc. </w:t>
      </w:r>
      <w:r w:rsidR="0016161C">
        <w:rPr>
          <w:rFonts w:ascii="Times New Roman" w:hAnsi="Times New Roman" w:cs="Times New Roman"/>
        </w:rPr>
        <w:t>However</w:t>
      </w:r>
      <w:r>
        <w:rPr>
          <w:rFonts w:ascii="Times New Roman" w:hAnsi="Times New Roman" w:cs="Times New Roman"/>
        </w:rPr>
        <w:t>, a 2017 Report to the Minnesota Legislature, by the Minnesota Department of Health</w:t>
      </w:r>
      <w:r w:rsidR="00666A83">
        <w:rPr>
          <w:rFonts w:ascii="Times New Roman" w:hAnsi="Times New Roman" w:cs="Times New Roman"/>
        </w:rPr>
        <w:t xml:space="preserve"> (MDH)</w:t>
      </w:r>
      <w:r>
        <w:rPr>
          <w:rFonts w:ascii="Times New Roman" w:hAnsi="Times New Roman" w:cs="Times New Roman"/>
        </w:rPr>
        <w:t xml:space="preserve">, shed some light on the process </w:t>
      </w:r>
      <w:r w:rsidR="00666A83">
        <w:rPr>
          <w:rFonts w:ascii="Times New Roman" w:hAnsi="Times New Roman" w:cs="Times New Roman"/>
        </w:rPr>
        <w:t>for obtaining patient consent</w:t>
      </w:r>
      <w:r w:rsidR="0016161C">
        <w:rPr>
          <w:rFonts w:ascii="Times New Roman" w:hAnsi="Times New Roman" w:cs="Times New Roman"/>
        </w:rPr>
        <w:t>, but does</w:t>
      </w:r>
      <w:r w:rsidR="00E6041C">
        <w:rPr>
          <w:rFonts w:ascii="Times New Roman" w:hAnsi="Times New Roman" w:cs="Times New Roman"/>
        </w:rPr>
        <w:t xml:space="preserve"> not directly address consent for data sharing</w:t>
      </w:r>
      <w:r w:rsidR="00666A83">
        <w:rPr>
          <w:rFonts w:ascii="Times New Roman" w:hAnsi="Times New Roman" w:cs="Times New Roman"/>
        </w:rPr>
        <w:t xml:space="preserve">. </w:t>
      </w:r>
      <w:r>
        <w:rPr>
          <w:rFonts w:ascii="Times New Roman" w:hAnsi="Times New Roman" w:cs="Times New Roman"/>
        </w:rPr>
        <w:t xml:space="preserve">The Report </w:t>
      </w:r>
      <w:r w:rsidR="00666A83">
        <w:rPr>
          <w:rFonts w:ascii="Times New Roman" w:hAnsi="Times New Roman" w:cs="Times New Roman"/>
        </w:rPr>
        <w:t xml:space="preserve">is based on a set </w:t>
      </w:r>
      <w:r w:rsidR="0081195F">
        <w:rPr>
          <w:rFonts w:ascii="Times New Roman" w:hAnsi="Times New Roman" w:cs="Times New Roman"/>
        </w:rPr>
        <w:t xml:space="preserve">of questions concerning MHRA, which were distributed to advisory committees, health associations, and key advocacy groups. MDH received 86 responses to their set of questions, and analyzed 81 of those responses. </w:t>
      </w:r>
      <w:r w:rsidR="00666A83">
        <w:rPr>
          <w:rFonts w:ascii="Times New Roman" w:hAnsi="Times New Roman" w:cs="Times New Roman"/>
        </w:rPr>
        <w:t>Of the 81 responses analyzed, 57 responses were from</w:t>
      </w:r>
      <w:r w:rsidR="00364A72">
        <w:rPr>
          <w:rFonts w:ascii="Times New Roman" w:hAnsi="Times New Roman" w:cs="Times New Roman"/>
        </w:rPr>
        <w:t xml:space="preserve"> the provider perspective</w:t>
      </w:r>
      <w:r w:rsidR="00666A83">
        <w:rPr>
          <w:rFonts w:ascii="Times New Roman" w:hAnsi="Times New Roman" w:cs="Times New Roman"/>
        </w:rPr>
        <w:t>.</w:t>
      </w:r>
      <w:r w:rsidR="00364A72">
        <w:rPr>
          <w:rFonts w:ascii="Times New Roman" w:hAnsi="Times New Roman" w:cs="Times New Roman"/>
        </w:rPr>
        <w:t xml:space="preserve"> The other responses were either from the patient perspective, or a combination of the patient and provider prospective.</w:t>
      </w:r>
    </w:p>
    <w:p w14:paraId="0CF81E1C" w14:textId="77777777" w:rsidR="00666A83" w:rsidRDefault="00666A83" w:rsidP="00D06446">
      <w:pPr>
        <w:rPr>
          <w:rFonts w:ascii="Times New Roman" w:hAnsi="Times New Roman" w:cs="Times New Roman"/>
        </w:rPr>
      </w:pPr>
    </w:p>
    <w:p w14:paraId="697E6A1E" w14:textId="7628485A" w:rsidR="00083D5B" w:rsidRDefault="00666A83" w:rsidP="00D06446">
      <w:pPr>
        <w:rPr>
          <w:rFonts w:ascii="Times New Roman" w:hAnsi="Times New Roman" w:cs="Times New Roman"/>
        </w:rPr>
      </w:pPr>
      <w:r>
        <w:rPr>
          <w:rFonts w:ascii="Times New Roman" w:hAnsi="Times New Roman" w:cs="Times New Roman"/>
        </w:rPr>
        <w:t xml:space="preserve">The Report </w:t>
      </w:r>
      <w:r w:rsidR="00426ACD">
        <w:rPr>
          <w:rFonts w:ascii="Times New Roman" w:hAnsi="Times New Roman" w:cs="Times New Roman"/>
        </w:rPr>
        <w:t xml:space="preserve">found it </w:t>
      </w:r>
      <w:r w:rsidR="00D06446">
        <w:rPr>
          <w:rFonts w:ascii="Times New Roman" w:hAnsi="Times New Roman" w:cs="Times New Roman"/>
        </w:rPr>
        <w:t>was common for the process of</w:t>
      </w:r>
      <w:r w:rsidR="00083D5B" w:rsidRPr="00D06446">
        <w:rPr>
          <w:rFonts w:ascii="Times New Roman" w:hAnsi="Times New Roman" w:cs="Times New Roman"/>
        </w:rPr>
        <w:t xml:space="preserve"> obtaining consent </w:t>
      </w:r>
      <w:r w:rsidR="00D06446">
        <w:rPr>
          <w:rFonts w:ascii="Times New Roman" w:hAnsi="Times New Roman" w:cs="Times New Roman"/>
        </w:rPr>
        <w:t>to vary</w:t>
      </w:r>
      <w:r w:rsidR="00083D5B" w:rsidRPr="00D06446">
        <w:rPr>
          <w:rFonts w:ascii="Times New Roman" w:hAnsi="Times New Roman" w:cs="Times New Roman"/>
        </w:rPr>
        <w:t xml:space="preserve"> widely across health care providers.</w:t>
      </w:r>
      <w:r w:rsidR="00426ACD">
        <w:rPr>
          <w:rFonts w:ascii="Times New Roman" w:hAnsi="Times New Roman" w:cs="Times New Roman"/>
        </w:rPr>
        <w:t xml:space="preserve"> This was determined or based on</w:t>
      </w:r>
      <w:r w:rsidR="00083D5B" w:rsidRPr="00D06446">
        <w:rPr>
          <w:rFonts w:ascii="Times New Roman" w:hAnsi="Times New Roman" w:cs="Times New Roman"/>
        </w:rPr>
        <w:t xml:space="preserve"> responses from health care providers across Minnesota, and suggested that the variation </w:t>
      </w:r>
      <w:r w:rsidR="00426ACD">
        <w:rPr>
          <w:rFonts w:ascii="Times New Roman" w:hAnsi="Times New Roman" w:cs="Times New Roman"/>
        </w:rPr>
        <w:t xml:space="preserve">of consent processes </w:t>
      </w:r>
      <w:r w:rsidR="00083D5B" w:rsidRPr="00D06446">
        <w:rPr>
          <w:rFonts w:ascii="Times New Roman" w:hAnsi="Times New Roman" w:cs="Times New Roman"/>
        </w:rPr>
        <w:t xml:space="preserve">could be due to </w:t>
      </w:r>
      <w:r w:rsidR="0016161C">
        <w:rPr>
          <w:rFonts w:ascii="Times New Roman" w:hAnsi="Times New Roman" w:cs="Times New Roman"/>
        </w:rPr>
        <w:t>providers</w:t>
      </w:r>
      <w:r w:rsidR="00426ACD">
        <w:rPr>
          <w:rFonts w:ascii="Times New Roman" w:hAnsi="Times New Roman" w:cs="Times New Roman"/>
        </w:rPr>
        <w:t xml:space="preserve"> var</w:t>
      </w:r>
      <w:r w:rsidR="0016161C">
        <w:rPr>
          <w:rFonts w:ascii="Times New Roman" w:hAnsi="Times New Roman" w:cs="Times New Roman"/>
        </w:rPr>
        <w:t>ying</w:t>
      </w:r>
      <w:r w:rsidR="00426ACD">
        <w:rPr>
          <w:rFonts w:ascii="Times New Roman" w:hAnsi="Times New Roman" w:cs="Times New Roman"/>
        </w:rPr>
        <w:t xml:space="preserve"> in</w:t>
      </w:r>
      <w:r w:rsidR="00083D5B" w:rsidRPr="00D06446">
        <w:rPr>
          <w:rFonts w:ascii="Times New Roman" w:hAnsi="Times New Roman" w:cs="Times New Roman"/>
        </w:rPr>
        <w:t xml:space="preserve"> size, location, organization type, and operational practices of health care entities.</w:t>
      </w:r>
      <w:r w:rsidR="00083D5B" w:rsidRPr="00044C30">
        <w:rPr>
          <w:rStyle w:val="FootnoteReference"/>
          <w:rFonts w:ascii="Times New Roman" w:hAnsi="Times New Roman" w:cs="Times New Roman"/>
        </w:rPr>
        <w:footnoteReference w:id="35"/>
      </w:r>
      <w:r w:rsidR="00426ACD">
        <w:rPr>
          <w:rFonts w:ascii="Times New Roman" w:hAnsi="Times New Roman" w:cs="Times New Roman"/>
        </w:rPr>
        <w:t xml:space="preserve"> The following are the Report’s findings that are most pertinent to this question: </w:t>
      </w:r>
    </w:p>
    <w:p w14:paraId="31B9FA0F" w14:textId="4F8E48CE" w:rsidR="00083D5B" w:rsidRDefault="00083D5B" w:rsidP="00426ACD">
      <w:pPr>
        <w:pStyle w:val="ListParagraph"/>
        <w:numPr>
          <w:ilvl w:val="0"/>
          <w:numId w:val="21"/>
        </w:numPr>
        <w:rPr>
          <w:rFonts w:ascii="Times New Roman" w:hAnsi="Times New Roman" w:cs="Times New Roman"/>
        </w:rPr>
      </w:pPr>
      <w:r w:rsidRPr="00426ACD">
        <w:rPr>
          <w:rFonts w:ascii="Times New Roman" w:hAnsi="Times New Roman" w:cs="Times New Roman"/>
        </w:rPr>
        <w:t>67% of respondents</w:t>
      </w:r>
      <w:r w:rsidR="007D020B">
        <w:rPr>
          <w:rFonts w:ascii="Times New Roman" w:hAnsi="Times New Roman" w:cs="Times New Roman"/>
        </w:rPr>
        <w:t xml:space="preserve"> described that consent must be obtained via a signed writing. </w:t>
      </w:r>
    </w:p>
    <w:p w14:paraId="46BAE046" w14:textId="4C3E7254" w:rsidR="00083D5B" w:rsidRDefault="007D020B" w:rsidP="00426ACD">
      <w:pPr>
        <w:pStyle w:val="ListParagraph"/>
        <w:numPr>
          <w:ilvl w:val="0"/>
          <w:numId w:val="21"/>
        </w:numPr>
        <w:rPr>
          <w:rFonts w:ascii="Times New Roman" w:hAnsi="Times New Roman" w:cs="Times New Roman"/>
        </w:rPr>
      </w:pPr>
      <w:r>
        <w:rPr>
          <w:rFonts w:ascii="Times New Roman" w:hAnsi="Times New Roman" w:cs="Times New Roman"/>
        </w:rPr>
        <w:t>Providers typically obtain consent</w:t>
      </w:r>
      <w:r w:rsidR="00083D5B" w:rsidRPr="00426ACD">
        <w:rPr>
          <w:rFonts w:ascii="Times New Roman" w:hAnsi="Times New Roman" w:cs="Times New Roman"/>
        </w:rPr>
        <w:t xml:space="preserve"> during registration or upon a patient’s first visit. </w:t>
      </w:r>
    </w:p>
    <w:p w14:paraId="12B4E659" w14:textId="5B5D4388" w:rsidR="007D020B" w:rsidRDefault="007D020B" w:rsidP="00426ACD">
      <w:pPr>
        <w:pStyle w:val="ListParagraph"/>
        <w:numPr>
          <w:ilvl w:val="0"/>
          <w:numId w:val="21"/>
        </w:numPr>
        <w:rPr>
          <w:rFonts w:ascii="Times New Roman" w:hAnsi="Times New Roman" w:cs="Times New Roman"/>
        </w:rPr>
      </w:pPr>
      <w:r>
        <w:rPr>
          <w:rFonts w:ascii="Times New Roman" w:hAnsi="Times New Roman" w:cs="Times New Roman"/>
        </w:rPr>
        <w:t xml:space="preserve">Some providers, presumably not a majority, reported that they have to scan consent into an electronic health record (EHR) system. </w:t>
      </w:r>
    </w:p>
    <w:p w14:paraId="23F49CAA" w14:textId="4AD650EE" w:rsidR="0034718B" w:rsidRDefault="0034718B" w:rsidP="00426ACD">
      <w:pPr>
        <w:pStyle w:val="ListParagraph"/>
        <w:numPr>
          <w:ilvl w:val="0"/>
          <w:numId w:val="21"/>
        </w:numPr>
        <w:rPr>
          <w:rFonts w:ascii="Times New Roman" w:hAnsi="Times New Roman" w:cs="Times New Roman"/>
        </w:rPr>
      </w:pPr>
      <w:r>
        <w:rPr>
          <w:rFonts w:ascii="Times New Roman" w:hAnsi="Times New Roman" w:cs="Times New Roman"/>
        </w:rPr>
        <w:t>26% of respondents reported using a process that requires printing, mailing, or faxing paper forms.</w:t>
      </w:r>
    </w:p>
    <w:p w14:paraId="14DB8072" w14:textId="026CA2CE" w:rsidR="0034718B" w:rsidRPr="00426ACD" w:rsidRDefault="0034718B" w:rsidP="00426ACD">
      <w:pPr>
        <w:pStyle w:val="ListParagraph"/>
        <w:numPr>
          <w:ilvl w:val="0"/>
          <w:numId w:val="21"/>
        </w:numPr>
        <w:rPr>
          <w:rFonts w:ascii="Times New Roman" w:hAnsi="Times New Roman" w:cs="Times New Roman"/>
        </w:rPr>
      </w:pPr>
      <w:r>
        <w:rPr>
          <w:rFonts w:ascii="Times New Roman" w:hAnsi="Times New Roman" w:cs="Times New Roman"/>
        </w:rPr>
        <w:t>12% of respondents used a</w:t>
      </w:r>
      <w:r w:rsidR="0016161C">
        <w:rPr>
          <w:rFonts w:ascii="Times New Roman" w:hAnsi="Times New Roman" w:cs="Times New Roman"/>
        </w:rPr>
        <w:t>n</w:t>
      </w:r>
      <w:r>
        <w:rPr>
          <w:rFonts w:ascii="Times New Roman" w:hAnsi="Times New Roman" w:cs="Times New Roman"/>
        </w:rPr>
        <w:t xml:space="preserve"> e-consent process, where a consent form is signed and sent via e-mail or contains an electronic signature. </w:t>
      </w:r>
    </w:p>
    <w:p w14:paraId="31FC4F8A" w14:textId="77777777" w:rsidR="00FC30A9" w:rsidRDefault="00FC30A9" w:rsidP="00083D5B">
      <w:pPr>
        <w:rPr>
          <w:rFonts w:ascii="Times New Roman" w:hAnsi="Times New Roman" w:cs="Times New Roman"/>
        </w:rPr>
      </w:pPr>
    </w:p>
    <w:p w14:paraId="0A141E0D" w14:textId="705129CB" w:rsidR="00083D5B" w:rsidRDefault="00D63D9D" w:rsidP="00083D5B">
      <w:pPr>
        <w:rPr>
          <w:rFonts w:ascii="Times New Roman" w:hAnsi="Times New Roman" w:cs="Times New Roman"/>
        </w:rPr>
      </w:pPr>
      <w:r>
        <w:rPr>
          <w:rFonts w:ascii="Times New Roman" w:hAnsi="Times New Roman" w:cs="Times New Roman"/>
          <w:b/>
        </w:rPr>
        <w:t>Question 11</w:t>
      </w:r>
      <w:r w:rsidR="00FC30A9">
        <w:rPr>
          <w:rFonts w:ascii="Times New Roman" w:hAnsi="Times New Roman" w:cs="Times New Roman"/>
        </w:rPr>
        <w:t>:</w:t>
      </w:r>
    </w:p>
    <w:p w14:paraId="1FB135BB" w14:textId="77777777" w:rsidR="006D09DC" w:rsidRDefault="006D09DC" w:rsidP="00083D5B">
      <w:pPr>
        <w:rPr>
          <w:rFonts w:ascii="Times New Roman" w:hAnsi="Times New Roman" w:cs="Times New Roman"/>
          <w:b/>
        </w:rPr>
      </w:pPr>
    </w:p>
    <w:p w14:paraId="437D80DF" w14:textId="794FBDBD" w:rsidR="00083D5B" w:rsidRPr="00FC30A9" w:rsidRDefault="00083D5B" w:rsidP="00083D5B">
      <w:pPr>
        <w:rPr>
          <w:rFonts w:ascii="Times New Roman" w:hAnsi="Times New Roman" w:cs="Times New Roman"/>
          <w:b/>
        </w:rPr>
      </w:pPr>
      <w:r w:rsidRPr="00FC30A9">
        <w:rPr>
          <w:rFonts w:ascii="Times New Roman" w:hAnsi="Times New Roman" w:cs="Times New Roman"/>
          <w:b/>
        </w:rPr>
        <w:t>Who were the "national organizations" contacted for the Care Coordination Measures Atlas (and the updated Atlas) and what info</w:t>
      </w:r>
      <w:r w:rsidR="00EC0E21">
        <w:rPr>
          <w:rFonts w:ascii="Times New Roman" w:hAnsi="Times New Roman" w:cs="Times New Roman"/>
          <w:b/>
        </w:rPr>
        <w:t>rmation</w:t>
      </w:r>
      <w:r w:rsidRPr="00FC30A9">
        <w:rPr>
          <w:rFonts w:ascii="Times New Roman" w:hAnsi="Times New Roman" w:cs="Times New Roman"/>
          <w:b/>
        </w:rPr>
        <w:t xml:space="preserve"> did they provide?</w:t>
      </w:r>
    </w:p>
    <w:p w14:paraId="5FD20EA7" w14:textId="41E740D3" w:rsidR="00EC0E21" w:rsidRPr="00044C30" w:rsidRDefault="00794456" w:rsidP="00083D5B">
      <w:pPr>
        <w:rPr>
          <w:rFonts w:ascii="Times New Roman" w:hAnsi="Times New Roman" w:cs="Times New Roman"/>
          <w:b/>
        </w:rPr>
      </w:pPr>
      <w:r>
        <w:rPr>
          <w:rFonts w:ascii="Times New Roman" w:hAnsi="Times New Roman" w:cs="Times New Roman"/>
          <w:b/>
        </w:rPr>
        <w:t>Did any Minnesota</w:t>
      </w:r>
      <w:r w:rsidR="00083D5B" w:rsidRPr="00FC30A9">
        <w:rPr>
          <w:rFonts w:ascii="Times New Roman" w:hAnsi="Times New Roman" w:cs="Times New Roman"/>
          <w:b/>
        </w:rPr>
        <w:t xml:space="preserve"> providers or companies participate/provide info toward development of the Atlas?</w:t>
      </w:r>
    </w:p>
    <w:p w14:paraId="7BC7CBC3" w14:textId="14236175" w:rsidR="0094478D" w:rsidRDefault="007F43F6">
      <w:pPr>
        <w:rPr>
          <w:rFonts w:ascii="Times New Roman" w:hAnsi="Times New Roman" w:cs="Times New Roman"/>
        </w:rPr>
      </w:pPr>
    </w:p>
    <w:p w14:paraId="5539D29E" w14:textId="77777777" w:rsidR="006D09DC" w:rsidRDefault="006D09DC">
      <w:pPr>
        <w:rPr>
          <w:rFonts w:ascii="Times New Roman" w:hAnsi="Times New Roman" w:cs="Times New Roman"/>
        </w:rPr>
      </w:pPr>
      <w:r>
        <w:rPr>
          <w:rFonts w:ascii="Times New Roman" w:hAnsi="Times New Roman" w:cs="Times New Roman"/>
        </w:rPr>
        <w:t>The Care Coordination Measures Atlas was prepared by the Agency for Healthcare Research and Quality (AHRQ). The Atlas can be found here:</w:t>
      </w:r>
    </w:p>
    <w:p w14:paraId="2C2DFED3" w14:textId="40F26506" w:rsidR="006D09DC" w:rsidRDefault="007F43F6" w:rsidP="006D09DC">
      <w:pPr>
        <w:pStyle w:val="ListParagraph"/>
        <w:numPr>
          <w:ilvl w:val="0"/>
          <w:numId w:val="23"/>
        </w:numPr>
        <w:rPr>
          <w:rFonts w:ascii="Times New Roman" w:hAnsi="Times New Roman" w:cs="Times New Roman"/>
        </w:rPr>
      </w:pPr>
      <w:hyperlink r:id="rId15" w:history="1">
        <w:r w:rsidR="006D09DC" w:rsidRPr="00D2691B">
          <w:rPr>
            <w:rStyle w:val="Hyperlink"/>
            <w:rFonts w:ascii="Times New Roman" w:hAnsi="Times New Roman" w:cs="Times New Roman"/>
          </w:rPr>
          <w:t>https://www.ahrq.gov/professionals/prevention-chronic-care/improve/coordination/atlas2014/jumpstart-guide.html</w:t>
        </w:r>
      </w:hyperlink>
    </w:p>
    <w:p w14:paraId="2C5E8678" w14:textId="4130B08F" w:rsidR="006D09DC" w:rsidRPr="006D09DC" w:rsidRDefault="006D09DC" w:rsidP="006D09DC">
      <w:pPr>
        <w:rPr>
          <w:rFonts w:ascii="Times New Roman" w:hAnsi="Times New Roman" w:cs="Times New Roman"/>
        </w:rPr>
      </w:pPr>
      <w:r w:rsidRPr="006D09DC">
        <w:rPr>
          <w:rFonts w:ascii="Times New Roman" w:hAnsi="Times New Roman" w:cs="Times New Roman"/>
        </w:rPr>
        <w:t xml:space="preserve">It is described as an “investigation into care coordination definitions, practices, and interventions” that is sponsored by several national organizations. </w:t>
      </w:r>
      <w:r w:rsidR="0000260D">
        <w:rPr>
          <w:rFonts w:ascii="Times New Roman" w:hAnsi="Times New Roman" w:cs="Times New Roman"/>
        </w:rPr>
        <w:t xml:space="preserve">AHRQ only </w:t>
      </w:r>
      <w:r w:rsidR="00782274">
        <w:rPr>
          <w:rFonts w:ascii="Times New Roman" w:hAnsi="Times New Roman" w:cs="Times New Roman"/>
        </w:rPr>
        <w:t>identifie</w:t>
      </w:r>
      <w:r w:rsidR="0000260D">
        <w:rPr>
          <w:rFonts w:ascii="Times New Roman" w:hAnsi="Times New Roman" w:cs="Times New Roman"/>
        </w:rPr>
        <w:t>s three</w:t>
      </w:r>
      <w:r w:rsidRPr="006D09DC">
        <w:rPr>
          <w:rFonts w:ascii="Times New Roman" w:hAnsi="Times New Roman" w:cs="Times New Roman"/>
        </w:rPr>
        <w:t xml:space="preserve"> organizations </w:t>
      </w:r>
      <w:r w:rsidR="00782274">
        <w:rPr>
          <w:rFonts w:ascii="Times New Roman" w:hAnsi="Times New Roman" w:cs="Times New Roman"/>
        </w:rPr>
        <w:t>as sponsors of</w:t>
      </w:r>
      <w:r w:rsidR="0000260D">
        <w:rPr>
          <w:rFonts w:ascii="Times New Roman" w:hAnsi="Times New Roman" w:cs="Times New Roman"/>
        </w:rPr>
        <w:t xml:space="preserve"> the atlas, but states that there are </w:t>
      </w:r>
      <w:r w:rsidR="00782274">
        <w:rPr>
          <w:rFonts w:ascii="Times New Roman" w:hAnsi="Times New Roman" w:cs="Times New Roman"/>
        </w:rPr>
        <w:t>additional sponsors.</w:t>
      </w:r>
      <w:r w:rsidR="0000260D">
        <w:rPr>
          <w:rFonts w:ascii="Times New Roman" w:hAnsi="Times New Roman" w:cs="Times New Roman"/>
        </w:rPr>
        <w:t xml:space="preserve"> The three organizations </w:t>
      </w:r>
      <w:r w:rsidR="003B763F">
        <w:rPr>
          <w:rFonts w:ascii="Times New Roman" w:hAnsi="Times New Roman" w:cs="Times New Roman"/>
        </w:rPr>
        <w:t xml:space="preserve">expressly </w:t>
      </w:r>
      <w:r w:rsidR="00782274">
        <w:rPr>
          <w:rFonts w:ascii="Times New Roman" w:hAnsi="Times New Roman" w:cs="Times New Roman"/>
        </w:rPr>
        <w:t xml:space="preserve">identified as sponsors </w:t>
      </w:r>
      <w:r w:rsidR="0000260D">
        <w:rPr>
          <w:rFonts w:ascii="Times New Roman" w:hAnsi="Times New Roman" w:cs="Times New Roman"/>
        </w:rPr>
        <w:t>are</w:t>
      </w:r>
      <w:r w:rsidRPr="006D09DC">
        <w:rPr>
          <w:rFonts w:ascii="Times New Roman" w:hAnsi="Times New Roman" w:cs="Times New Roman"/>
        </w:rPr>
        <w:t xml:space="preserve">: </w:t>
      </w:r>
    </w:p>
    <w:p w14:paraId="0A2AC62A" w14:textId="58EDB187" w:rsidR="006D09DC" w:rsidRDefault="0000260D" w:rsidP="006D09DC">
      <w:pPr>
        <w:pStyle w:val="ListParagraph"/>
        <w:numPr>
          <w:ilvl w:val="0"/>
          <w:numId w:val="22"/>
        </w:numPr>
        <w:rPr>
          <w:rFonts w:ascii="Times New Roman" w:hAnsi="Times New Roman" w:cs="Times New Roman"/>
        </w:rPr>
      </w:pPr>
      <w:r>
        <w:rPr>
          <w:rFonts w:ascii="Times New Roman" w:hAnsi="Times New Roman" w:cs="Times New Roman"/>
        </w:rPr>
        <w:t xml:space="preserve">AHRQ; </w:t>
      </w:r>
    </w:p>
    <w:p w14:paraId="0EF95DC7" w14:textId="3F9A8847" w:rsidR="006D09DC" w:rsidRDefault="006D09DC" w:rsidP="006D09DC">
      <w:pPr>
        <w:pStyle w:val="ListParagraph"/>
        <w:numPr>
          <w:ilvl w:val="0"/>
          <w:numId w:val="22"/>
        </w:numPr>
        <w:rPr>
          <w:rFonts w:ascii="Times New Roman" w:hAnsi="Times New Roman" w:cs="Times New Roman"/>
        </w:rPr>
      </w:pPr>
      <w:r>
        <w:rPr>
          <w:rFonts w:ascii="Times New Roman" w:hAnsi="Times New Roman" w:cs="Times New Roman"/>
        </w:rPr>
        <w:t xml:space="preserve">the Institute of Medicine; </w:t>
      </w:r>
      <w:r w:rsidRPr="006D09DC">
        <w:rPr>
          <w:rFonts w:ascii="Times New Roman" w:hAnsi="Times New Roman" w:cs="Times New Roman"/>
        </w:rPr>
        <w:t xml:space="preserve">and </w:t>
      </w:r>
    </w:p>
    <w:p w14:paraId="401B03E7" w14:textId="075AED74" w:rsidR="006D09DC" w:rsidRDefault="006D09DC" w:rsidP="006D09DC">
      <w:pPr>
        <w:pStyle w:val="ListParagraph"/>
        <w:numPr>
          <w:ilvl w:val="0"/>
          <w:numId w:val="22"/>
        </w:numPr>
        <w:rPr>
          <w:rFonts w:ascii="Times New Roman" w:hAnsi="Times New Roman" w:cs="Times New Roman"/>
        </w:rPr>
      </w:pPr>
      <w:r w:rsidRPr="006D09DC">
        <w:rPr>
          <w:rFonts w:ascii="Times New Roman" w:hAnsi="Times New Roman" w:cs="Times New Roman"/>
        </w:rPr>
        <w:t>the American College of Physicians</w:t>
      </w:r>
      <w:r>
        <w:rPr>
          <w:rFonts w:ascii="Times New Roman" w:hAnsi="Times New Roman" w:cs="Times New Roman"/>
        </w:rPr>
        <w:t xml:space="preserve">. </w:t>
      </w:r>
    </w:p>
    <w:p w14:paraId="035087FA" w14:textId="69371338" w:rsidR="00782274" w:rsidRDefault="00782274" w:rsidP="00782274">
      <w:pPr>
        <w:rPr>
          <w:rFonts w:ascii="Times New Roman" w:hAnsi="Times New Roman" w:cs="Times New Roman"/>
        </w:rPr>
      </w:pPr>
      <w:r>
        <w:rPr>
          <w:rFonts w:ascii="Times New Roman" w:hAnsi="Times New Roman" w:cs="Times New Roman"/>
        </w:rPr>
        <w:t>There are several other organizations included in the footnote citations. These organizations did not nece</w:t>
      </w:r>
      <w:r w:rsidR="009F3E46">
        <w:rPr>
          <w:rFonts w:ascii="Times New Roman" w:hAnsi="Times New Roman" w:cs="Times New Roman"/>
        </w:rPr>
        <w:t>ssarily sponsor the Atlas. The cited</w:t>
      </w:r>
      <w:r>
        <w:rPr>
          <w:rFonts w:ascii="Times New Roman" w:hAnsi="Times New Roman" w:cs="Times New Roman"/>
        </w:rPr>
        <w:t xml:space="preserve"> organizations include</w:t>
      </w:r>
      <w:r w:rsidR="00FD053C">
        <w:rPr>
          <w:rFonts w:ascii="Times New Roman" w:hAnsi="Times New Roman" w:cs="Times New Roman"/>
        </w:rPr>
        <w:t>, but are not limited to</w:t>
      </w:r>
      <w:r>
        <w:rPr>
          <w:rFonts w:ascii="Times New Roman" w:hAnsi="Times New Roman" w:cs="Times New Roman"/>
        </w:rPr>
        <w:t xml:space="preserve">: </w:t>
      </w:r>
    </w:p>
    <w:p w14:paraId="4654373C" w14:textId="786BDB5C" w:rsidR="00782274" w:rsidRDefault="00782274" w:rsidP="00782274">
      <w:pPr>
        <w:pStyle w:val="ListParagraph"/>
        <w:numPr>
          <w:ilvl w:val="0"/>
          <w:numId w:val="24"/>
        </w:numPr>
        <w:rPr>
          <w:rFonts w:ascii="Times New Roman" w:hAnsi="Times New Roman" w:cs="Times New Roman"/>
        </w:rPr>
      </w:pPr>
      <w:r>
        <w:rPr>
          <w:rFonts w:ascii="Times New Roman" w:hAnsi="Times New Roman" w:cs="Times New Roman"/>
        </w:rPr>
        <w:t>The National Quality Forum</w:t>
      </w:r>
      <w:r w:rsidR="00FD053C">
        <w:rPr>
          <w:rFonts w:ascii="Times New Roman" w:hAnsi="Times New Roman" w:cs="Times New Roman"/>
        </w:rPr>
        <w:t>;</w:t>
      </w:r>
    </w:p>
    <w:p w14:paraId="6AAAC925" w14:textId="5CCB637D" w:rsidR="00782274" w:rsidRDefault="00782274" w:rsidP="00782274">
      <w:pPr>
        <w:pStyle w:val="ListParagraph"/>
        <w:numPr>
          <w:ilvl w:val="0"/>
          <w:numId w:val="24"/>
        </w:numPr>
        <w:rPr>
          <w:rFonts w:ascii="Times New Roman" w:hAnsi="Times New Roman" w:cs="Times New Roman"/>
        </w:rPr>
      </w:pPr>
      <w:r>
        <w:rPr>
          <w:rFonts w:ascii="Times New Roman" w:hAnsi="Times New Roman" w:cs="Times New Roman"/>
        </w:rPr>
        <w:t>The Commonwealth Fund</w:t>
      </w:r>
      <w:r w:rsidR="00FD053C">
        <w:rPr>
          <w:rFonts w:ascii="Times New Roman" w:hAnsi="Times New Roman" w:cs="Times New Roman"/>
        </w:rPr>
        <w:t>;</w:t>
      </w:r>
    </w:p>
    <w:p w14:paraId="625C6AF6" w14:textId="6D7C6420" w:rsidR="00782274" w:rsidRDefault="00782274" w:rsidP="00782274">
      <w:pPr>
        <w:pStyle w:val="ListParagraph"/>
        <w:numPr>
          <w:ilvl w:val="0"/>
          <w:numId w:val="24"/>
        </w:numPr>
        <w:rPr>
          <w:rFonts w:ascii="Times New Roman" w:hAnsi="Times New Roman" w:cs="Times New Roman"/>
        </w:rPr>
      </w:pPr>
      <w:r>
        <w:rPr>
          <w:rFonts w:ascii="Times New Roman" w:hAnsi="Times New Roman" w:cs="Times New Roman"/>
        </w:rPr>
        <w:t>Oxford’s Journal of the National Cancer Institute</w:t>
      </w:r>
      <w:r w:rsidR="00FD053C">
        <w:rPr>
          <w:rFonts w:ascii="Times New Roman" w:hAnsi="Times New Roman" w:cs="Times New Roman"/>
        </w:rPr>
        <w:t xml:space="preserve">; </w:t>
      </w:r>
    </w:p>
    <w:p w14:paraId="581A1CD2" w14:textId="6F30426F" w:rsidR="00FD053C" w:rsidRDefault="00FD053C" w:rsidP="00782274">
      <w:pPr>
        <w:pStyle w:val="ListParagraph"/>
        <w:numPr>
          <w:ilvl w:val="0"/>
          <w:numId w:val="24"/>
        </w:numPr>
        <w:rPr>
          <w:rFonts w:ascii="Times New Roman" w:hAnsi="Times New Roman" w:cs="Times New Roman"/>
        </w:rPr>
      </w:pPr>
      <w:r>
        <w:rPr>
          <w:rFonts w:ascii="Times New Roman" w:hAnsi="Times New Roman" w:cs="Times New Roman"/>
        </w:rPr>
        <w:t>Mathematica Policy Research Inc.;</w:t>
      </w:r>
    </w:p>
    <w:p w14:paraId="2971A020" w14:textId="290DC076" w:rsidR="00FD053C" w:rsidRDefault="00FD053C" w:rsidP="00FD053C">
      <w:pPr>
        <w:pStyle w:val="ListParagraph"/>
        <w:numPr>
          <w:ilvl w:val="0"/>
          <w:numId w:val="24"/>
        </w:numPr>
        <w:rPr>
          <w:rFonts w:ascii="Times New Roman" w:hAnsi="Times New Roman" w:cs="Times New Roman"/>
        </w:rPr>
      </w:pPr>
      <w:r w:rsidRPr="00FD053C">
        <w:rPr>
          <w:rFonts w:ascii="Times New Roman" w:hAnsi="Times New Roman" w:cs="Times New Roman"/>
        </w:rPr>
        <w:t>Office of the National Coordinator for Health Information Technology</w:t>
      </w:r>
      <w:r>
        <w:rPr>
          <w:rFonts w:ascii="Times New Roman" w:hAnsi="Times New Roman" w:cs="Times New Roman"/>
        </w:rPr>
        <w:t>;</w:t>
      </w:r>
    </w:p>
    <w:p w14:paraId="0F9D2EB6" w14:textId="60C416B8" w:rsidR="00FD053C" w:rsidRDefault="00FD053C" w:rsidP="00FD053C">
      <w:pPr>
        <w:pStyle w:val="ListParagraph"/>
        <w:numPr>
          <w:ilvl w:val="0"/>
          <w:numId w:val="24"/>
        </w:numPr>
        <w:rPr>
          <w:rFonts w:ascii="Times New Roman" w:hAnsi="Times New Roman" w:cs="Times New Roman"/>
        </w:rPr>
      </w:pPr>
      <w:r w:rsidRPr="00FD053C">
        <w:rPr>
          <w:rFonts w:ascii="Times New Roman" w:hAnsi="Times New Roman" w:cs="Times New Roman"/>
        </w:rPr>
        <w:t>American Medical Association</w:t>
      </w:r>
      <w:r>
        <w:rPr>
          <w:rFonts w:ascii="Times New Roman" w:hAnsi="Times New Roman" w:cs="Times New Roman"/>
        </w:rPr>
        <w:t>; and</w:t>
      </w:r>
    </w:p>
    <w:p w14:paraId="0868E561" w14:textId="18774732" w:rsidR="00FD053C" w:rsidRPr="00FD053C" w:rsidRDefault="00FD053C" w:rsidP="00FD053C">
      <w:pPr>
        <w:pStyle w:val="ListParagraph"/>
        <w:numPr>
          <w:ilvl w:val="0"/>
          <w:numId w:val="24"/>
        </w:numPr>
        <w:rPr>
          <w:rFonts w:ascii="Times New Roman" w:hAnsi="Times New Roman" w:cs="Times New Roman"/>
        </w:rPr>
      </w:pPr>
      <w:r>
        <w:rPr>
          <w:rFonts w:ascii="Times New Roman" w:hAnsi="Times New Roman" w:cs="Times New Roman"/>
        </w:rPr>
        <w:t>Centers for Medicare and Medicaid Services.</w:t>
      </w:r>
    </w:p>
    <w:sectPr w:rsidR="00FD053C" w:rsidRPr="00FD053C" w:rsidSect="00226000">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C6F1E" w14:textId="77777777" w:rsidR="007F694C" w:rsidRDefault="007F694C" w:rsidP="00083D5B">
      <w:r>
        <w:separator/>
      </w:r>
    </w:p>
  </w:endnote>
  <w:endnote w:type="continuationSeparator" w:id="0">
    <w:p w14:paraId="0E8933B4" w14:textId="77777777" w:rsidR="007F694C" w:rsidRDefault="007F694C" w:rsidP="0008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AED9" w14:textId="77777777" w:rsidR="00794456" w:rsidRPr="00890158" w:rsidRDefault="00794456" w:rsidP="005B509E">
    <w:pPr>
      <w:pStyle w:val="Footer"/>
      <w:framePr w:wrap="none" w:vAnchor="text" w:hAnchor="margin" w:xAlign="right" w:y="1"/>
      <w:rPr>
        <w:rStyle w:val="PageNumber"/>
        <w:rFonts w:ascii="Times New Roman" w:hAnsi="Times New Roman" w:cs="Times New Roman"/>
        <w:color w:val="000000" w:themeColor="text1"/>
      </w:rPr>
    </w:pPr>
    <w:r w:rsidRPr="00890158">
      <w:rPr>
        <w:rStyle w:val="PageNumber"/>
        <w:rFonts w:ascii="Times New Roman" w:hAnsi="Times New Roman" w:cs="Times New Roman"/>
        <w:color w:val="000000" w:themeColor="text1"/>
      </w:rPr>
      <w:fldChar w:fldCharType="begin"/>
    </w:r>
    <w:r w:rsidRPr="00890158">
      <w:rPr>
        <w:rStyle w:val="PageNumber"/>
        <w:rFonts w:ascii="Times New Roman" w:hAnsi="Times New Roman" w:cs="Times New Roman"/>
        <w:color w:val="000000" w:themeColor="text1"/>
      </w:rPr>
      <w:instrText xml:space="preserve">PAGE  </w:instrText>
    </w:r>
    <w:r w:rsidRPr="00890158">
      <w:rPr>
        <w:rStyle w:val="PageNumber"/>
        <w:rFonts w:ascii="Times New Roman" w:hAnsi="Times New Roman" w:cs="Times New Roman"/>
        <w:color w:val="000000" w:themeColor="text1"/>
      </w:rPr>
      <w:fldChar w:fldCharType="separate"/>
    </w:r>
    <w:r w:rsidRPr="00890158">
      <w:rPr>
        <w:rStyle w:val="PageNumber"/>
        <w:rFonts w:ascii="Times New Roman" w:hAnsi="Times New Roman" w:cs="Times New Roman"/>
        <w:noProof/>
        <w:color w:val="000000" w:themeColor="text1"/>
      </w:rPr>
      <w:t>1</w:t>
    </w:r>
    <w:r w:rsidRPr="00890158">
      <w:rPr>
        <w:rStyle w:val="PageNumber"/>
        <w:rFonts w:ascii="Times New Roman" w:hAnsi="Times New Roman" w:cs="Times New Roman"/>
        <w:color w:val="000000" w:themeColor="text1"/>
      </w:rPr>
      <w:fldChar w:fldCharType="end"/>
    </w:r>
  </w:p>
  <w:p w14:paraId="5F57798C" w14:textId="77777777" w:rsidR="00794456" w:rsidRPr="00890158" w:rsidRDefault="00794456" w:rsidP="002347C2">
    <w:pPr>
      <w:pStyle w:val="Footer"/>
      <w:ind w:right="360"/>
      <w:jc w:val="right"/>
      <w:rPr>
        <w:rFonts w:ascii="Times New Roman" w:hAnsi="Times New Roman" w:cs="Times New Roman"/>
        <w:color w:val="000000" w:themeColor="text1"/>
      </w:rPr>
    </w:pPr>
  </w:p>
  <w:p w14:paraId="39DECAF9" w14:textId="77777777" w:rsidR="00794456" w:rsidRPr="00890158" w:rsidRDefault="00794456">
    <w:pPr>
      <w:pStyle w:val="Footer"/>
      <w:rPr>
        <w:rFonts w:ascii="Times New Roman" w:hAnsi="Times New Roman" w:cs="Times New Roman"/>
        <w:color w:val="000000" w:themeColor="text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4967511"/>
      <w:docPartObj>
        <w:docPartGallery w:val="Page Numbers (Bottom of Page)"/>
        <w:docPartUnique/>
      </w:docPartObj>
    </w:sdtPr>
    <w:sdtEndPr>
      <w:rPr>
        <w:noProof/>
      </w:rPr>
    </w:sdtEndPr>
    <w:sdtContent>
      <w:p w14:paraId="23C1ED0B" w14:textId="120F856A" w:rsidR="00700133" w:rsidRPr="00890158" w:rsidRDefault="00700133">
        <w:pPr>
          <w:pStyle w:val="Footer"/>
          <w:jc w:val="right"/>
          <w:rPr>
            <w:rFonts w:ascii="Times New Roman" w:hAnsi="Times New Roman" w:cs="Times New Roman"/>
          </w:rPr>
        </w:pPr>
        <w:r w:rsidRPr="00890158">
          <w:rPr>
            <w:rFonts w:ascii="Times New Roman" w:hAnsi="Times New Roman" w:cs="Times New Roman"/>
          </w:rPr>
          <w:fldChar w:fldCharType="begin"/>
        </w:r>
        <w:r w:rsidRPr="00890158">
          <w:rPr>
            <w:rFonts w:ascii="Times New Roman" w:hAnsi="Times New Roman" w:cs="Times New Roman"/>
          </w:rPr>
          <w:instrText xml:space="preserve"> PAGE   \* MERGEFORMAT </w:instrText>
        </w:r>
        <w:r w:rsidRPr="00890158">
          <w:rPr>
            <w:rFonts w:ascii="Times New Roman" w:hAnsi="Times New Roman" w:cs="Times New Roman"/>
          </w:rPr>
          <w:fldChar w:fldCharType="separate"/>
        </w:r>
        <w:r w:rsidR="007F43F6">
          <w:rPr>
            <w:rFonts w:ascii="Times New Roman" w:hAnsi="Times New Roman" w:cs="Times New Roman"/>
            <w:noProof/>
          </w:rPr>
          <w:t>20</w:t>
        </w:r>
        <w:r w:rsidRPr="00890158">
          <w:rPr>
            <w:rFonts w:ascii="Times New Roman" w:hAnsi="Times New Roman" w:cs="Times New Roman"/>
            <w:noProof/>
          </w:rPr>
          <w:fldChar w:fldCharType="end"/>
        </w:r>
      </w:p>
    </w:sdtContent>
  </w:sdt>
  <w:p w14:paraId="7E3DDE52" w14:textId="77777777" w:rsidR="00700133" w:rsidRPr="00890158" w:rsidRDefault="0070013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FE681" w14:textId="77777777" w:rsidR="007F694C" w:rsidRDefault="007F694C" w:rsidP="00083D5B">
      <w:r>
        <w:separator/>
      </w:r>
    </w:p>
  </w:footnote>
  <w:footnote w:type="continuationSeparator" w:id="0">
    <w:p w14:paraId="5B512491" w14:textId="77777777" w:rsidR="007F694C" w:rsidRDefault="007F694C" w:rsidP="00083D5B">
      <w:r>
        <w:continuationSeparator/>
      </w:r>
    </w:p>
  </w:footnote>
  <w:footnote w:id="1">
    <w:p w14:paraId="26696D7C" w14:textId="77777777" w:rsidR="00A10E5E" w:rsidRPr="00C9002D" w:rsidRDefault="00A10E5E">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https://www.hhs.gov/hipaa/for-professionals/index.html</w:t>
      </w:r>
    </w:p>
  </w:footnote>
  <w:footnote w:id="2">
    <w:p w14:paraId="3599E8F1" w14:textId="77777777" w:rsidR="00F32A5F" w:rsidRPr="00C9002D" w:rsidRDefault="00F32A5F">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w:t>
      </w:r>
      <w:r w:rsidR="00CD58D0" w:rsidRPr="00C9002D">
        <w:rPr>
          <w:rFonts w:ascii="Times New Roman" w:hAnsi="Times New Roman" w:cs="Times New Roman"/>
        </w:rPr>
        <w:t>https://www.law.cornell.edu/cfr/text/45/part-164</w:t>
      </w:r>
    </w:p>
  </w:footnote>
  <w:footnote w:id="3">
    <w:p w14:paraId="6C8A368C" w14:textId="77777777" w:rsidR="00D107DB" w:rsidRPr="00C9002D" w:rsidRDefault="00D107D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https://www.law.cornell.edu/cfr/text/45/164.306</w:t>
      </w:r>
    </w:p>
  </w:footnote>
  <w:footnote w:id="4">
    <w:p w14:paraId="2E55EF05" w14:textId="7B9A65A2" w:rsidR="006734EA" w:rsidRPr="00C9002D" w:rsidRDefault="006734EA">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https://academic.oup.com/ajcp/article/143/5/623/1760774</w:t>
      </w:r>
    </w:p>
  </w:footnote>
  <w:footnote w:id="5">
    <w:p w14:paraId="60A5A0A0"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https://www.healthaffairs.org/doi/pdf/10.1377/hlthaff.28.5.1475</w:t>
      </w:r>
    </w:p>
  </w:footnote>
  <w:footnote w:id="6">
    <w:p w14:paraId="4D1005CC"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https://www.unh.edu/healthyunh/blog/healthcare-consumerism/2015/05/doing-away-duplicate-testing-can-cut-healthcare-costs</w:t>
      </w:r>
    </w:p>
  </w:footnote>
  <w:footnote w:id="7">
    <w:p w14:paraId="7E1E51A8" w14:textId="1E7F75D9" w:rsidR="001A6276" w:rsidRPr="00C9002D" w:rsidRDefault="001A6276">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https://money.cnn.com/2017/05/20/news/economy/medical-tests/index.html</w:t>
      </w:r>
    </w:p>
  </w:footnote>
  <w:footnote w:id="8">
    <w:p w14:paraId="7ABB3D9F"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http://healthitmhealth.com/health-infographic-week-duplicates-hidden-cost-healthcare/</w:t>
      </w:r>
    </w:p>
  </w:footnote>
  <w:footnote w:id="9">
    <w:p w14:paraId="7C37E6C8"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https://pdfs.semanticscholar.org/8b95/dc6a2970e0b61bb56f5bd560b4956aef34c7.pdf</w:t>
      </w:r>
    </w:p>
  </w:footnote>
  <w:footnote w:id="10">
    <w:p w14:paraId="079D87C3"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https://www.brookings.edu/blog/techtank/2017/05/26/health-information-exchanges-reduce-redundant-medical-procedures/</w:t>
      </w:r>
    </w:p>
  </w:footnote>
  <w:footnote w:id="11">
    <w:p w14:paraId="3BDD41EE" w14:textId="6BC7AADA" w:rsidR="00EA6620" w:rsidRPr="00C9002D" w:rsidRDefault="00EA6620">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https://dashboard.healthit.gov/apps/hospital-health-it-adoption.php</w:t>
      </w:r>
    </w:p>
  </w:footnote>
  <w:footnote w:id="12">
    <w:p w14:paraId="758854EF"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https://www.brookings.edu/blog/techtank/2017/05/26/health-information-exchanges-reduce-redundant-medical-procedures/</w:t>
      </w:r>
    </w:p>
  </w:footnote>
  <w:footnote w:id="13">
    <w:p w14:paraId="0A2F58ED"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https://pdfs.semanticscholar.org/8b95/dc6a2970e0b61bb56f5bd560b4956aef34c7.pdf</w:t>
      </w:r>
    </w:p>
  </w:footnote>
  <w:footnote w:id="14">
    <w:p w14:paraId="55733890"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https://academic.oup.com/ajcp/article/141/5/718/1761633</w:t>
      </w:r>
    </w:p>
  </w:footnote>
  <w:footnote w:id="15">
    <w:p w14:paraId="404DDC8E"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https://academic.oup.com/ajcp/article/141/5/718/1761633</w:t>
      </w:r>
    </w:p>
  </w:footnote>
  <w:footnote w:id="16">
    <w:p w14:paraId="0613112D"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w:t>
      </w:r>
      <w:r w:rsidRPr="00C9002D">
        <w:rPr>
          <w:rFonts w:ascii="Times New Roman" w:hAnsi="Times New Roman" w:cs="Times New Roman"/>
          <w:color w:val="000000"/>
          <w:shd w:val="clear" w:color="auto" w:fill="FFFFFF"/>
        </w:rPr>
        <w:t>https://www.ncbi.nlm.nih.gov/pmc/articles/PMC2995707/</w:t>
      </w:r>
    </w:p>
  </w:footnote>
  <w:footnote w:id="17">
    <w:p w14:paraId="3EC45D1F" w14:textId="7A95061A" w:rsidR="001C4DFF" w:rsidRPr="00C9002D" w:rsidRDefault="001C4DFF">
      <w:pPr>
        <w:pStyle w:val="FootnoteText"/>
        <w:rPr>
          <w:rFonts w:ascii="Times New Roman" w:hAnsi="Times New Roman" w:cs="Times New Roman"/>
          <w:lang w:val="fr-FR"/>
        </w:rPr>
      </w:pPr>
      <w:r w:rsidRPr="00C9002D">
        <w:rPr>
          <w:rStyle w:val="FootnoteReference"/>
          <w:rFonts w:ascii="Times New Roman" w:hAnsi="Times New Roman" w:cs="Times New Roman"/>
        </w:rPr>
        <w:footnoteRef/>
      </w:r>
      <w:r w:rsidRPr="00C9002D">
        <w:rPr>
          <w:rFonts w:ascii="Times New Roman" w:hAnsi="Times New Roman" w:cs="Times New Roman"/>
        </w:rPr>
        <w:t xml:space="preserve"> </w:t>
      </w:r>
      <w:r w:rsidRPr="00C9002D">
        <w:rPr>
          <w:rFonts w:ascii="Times New Roman" w:hAnsi="Times New Roman" w:cs="Times New Roman"/>
          <w:lang w:val="fr-FR"/>
        </w:rPr>
        <w:t>http://forhealthfreedom.org/Newsletter/September2010.html#Article3</w:t>
      </w:r>
    </w:p>
    <w:p w14:paraId="4218082F" w14:textId="7EB5E72F" w:rsidR="003D3067" w:rsidRPr="00C9002D" w:rsidRDefault="003D3067">
      <w:pPr>
        <w:pStyle w:val="FootnoteText"/>
        <w:rPr>
          <w:rFonts w:ascii="Times New Roman" w:hAnsi="Times New Roman" w:cs="Times New Roman"/>
        </w:rPr>
      </w:pPr>
      <w:r w:rsidRPr="00C9002D">
        <w:rPr>
          <w:rFonts w:ascii="Times New Roman" w:hAnsi="Times New Roman" w:cs="Times New Roman"/>
        </w:rPr>
        <w:t xml:space="preserve">    https://cdn.cnsnews.com/documents/HIPAAPrivacyRegs_EconomicStimulusChanges.pdf</w:t>
      </w:r>
    </w:p>
  </w:footnote>
  <w:footnote w:id="18">
    <w:p w14:paraId="248699CE"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https://www.hhs.gov/sites/default/files/privacysummary.pdf</w:t>
      </w:r>
    </w:p>
  </w:footnote>
  <w:footnote w:id="19">
    <w:p w14:paraId="5AC73EFD" w14:textId="77777777" w:rsidR="009264F9" w:rsidRPr="00C9002D" w:rsidRDefault="009264F9">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https://www.hhs.gov/hipaa/for-professionals/compliance-enforcement/enforcement-process/index.html</w:t>
      </w:r>
    </w:p>
  </w:footnote>
  <w:footnote w:id="20">
    <w:p w14:paraId="28C850DE" w14:textId="77777777" w:rsidR="00864C84" w:rsidRPr="00C9002D" w:rsidRDefault="00864C84">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https://www.worldprivacyforum.org/2013/09/hipaaguide-right-to-complain-to-the-secretary-of-hhs-46-50/</w:t>
      </w:r>
    </w:p>
  </w:footnote>
  <w:footnote w:id="21">
    <w:p w14:paraId="27D33023" w14:textId="77777777" w:rsidR="000413E0" w:rsidRPr="00C9002D" w:rsidRDefault="000413E0">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https://www.hhs.gov/hipaa/for-professionals/compliance-enforcement/examples/how-ocr-enforces-the-hipaa-privacy-and-security-rules/index.html</w:t>
      </w:r>
    </w:p>
  </w:footnote>
  <w:footnote w:id="22">
    <w:p w14:paraId="6BEA803C" w14:textId="77777777" w:rsidR="00CB2ECF" w:rsidRPr="00C9002D" w:rsidRDefault="00CB2ECF">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https://www.law.cornell.edu/uscode/text/42/17939#c</w:t>
      </w:r>
    </w:p>
  </w:footnote>
  <w:footnote w:id="23">
    <w:p w14:paraId="1E466F9E"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https://pdfs.semanticscholar.org/8fd4/d7ff560a3d9ef03ca4a622d470837b5d4374.pdf</w:t>
      </w:r>
    </w:p>
  </w:footnote>
  <w:footnote w:id="24">
    <w:p w14:paraId="0F34B095"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https://law.justia.com/codes/new-hampshire/2017/title-xxx/chapter-332-i/section-332-i-6/</w:t>
      </w:r>
    </w:p>
  </w:footnote>
  <w:footnote w:id="25">
    <w:p w14:paraId="4371631D" w14:textId="080AE0C7" w:rsidR="00DE029B" w:rsidRPr="00C9002D" w:rsidRDefault="00DE029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https://www.worldprivacyforum.org/2013/09/hipaaguidepart2/</w:t>
      </w:r>
    </w:p>
  </w:footnote>
  <w:footnote w:id="26">
    <w:p w14:paraId="6284B496" w14:textId="05625DCD" w:rsidR="00030B7D" w:rsidRPr="00C9002D" w:rsidRDefault="00030B7D">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https://www.hhs.gov/hipaa/for-professionals/faq/467/must-a-covered-entity-provide-an-accounting-for-disclosures/index.html</w:t>
      </w:r>
    </w:p>
    <w:p w14:paraId="29B542D0" w14:textId="48CB5E09" w:rsidR="00547A9E" w:rsidRPr="00C9002D" w:rsidRDefault="00547A9E">
      <w:pPr>
        <w:pStyle w:val="FootnoteText"/>
        <w:rPr>
          <w:rFonts w:ascii="Times New Roman" w:hAnsi="Times New Roman" w:cs="Times New Roman"/>
        </w:rPr>
      </w:pPr>
      <w:r w:rsidRPr="00C9002D">
        <w:rPr>
          <w:rFonts w:ascii="Times New Roman" w:hAnsi="Times New Roman" w:cs="Times New Roman"/>
        </w:rPr>
        <w:t xml:space="preserve">    https://www.gpo.gov/fdsys/pkg/CFR-2003-title45-vol1/xml/CFR-2003-title45-vol1-sec164- 528.xml</w:t>
      </w:r>
    </w:p>
  </w:footnote>
  <w:footnote w:id="27">
    <w:p w14:paraId="4F07F48F"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https://www.law.cornell.edu/cfr/text/45/164.528</w:t>
      </w:r>
    </w:p>
  </w:footnote>
  <w:footnote w:id="28">
    <w:p w14:paraId="36CC4361" w14:textId="77777777" w:rsidR="002E29D8" w:rsidRPr="00C9002D" w:rsidRDefault="002E29D8" w:rsidP="002E29D8">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https://www.hopkinsmedicine.org/institutional_review_board/hipaa_research/tracking.html</w:t>
      </w:r>
    </w:p>
  </w:footnote>
  <w:footnote w:id="29">
    <w:p w14:paraId="7F3DF620"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https://www.hopkinsmedicine.org/institutional_review_board/hipaa_research/tracking.html</w:t>
      </w:r>
    </w:p>
  </w:footnote>
  <w:footnote w:id="30">
    <w:p w14:paraId="07182436"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https://www.law.cornell.edu/cfr/text/45/164.528</w:t>
      </w:r>
    </w:p>
  </w:footnote>
  <w:footnote w:id="31">
    <w:p w14:paraId="13D17111" w14:textId="703CF652" w:rsidR="00A67B33" w:rsidRPr="00C9002D" w:rsidRDefault="00A67B33">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https://www.revisor.mn.gov/statutes/cite/144.293</w:t>
      </w:r>
    </w:p>
  </w:footnote>
  <w:footnote w:id="32">
    <w:p w14:paraId="7E7651F2" w14:textId="3D9D7BBE" w:rsidR="00C9002D" w:rsidRPr="00C9002D" w:rsidRDefault="00C9002D">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https://www.hhs.gov/hipaa/for-professionals/privacy/special-topics/de-identification/index.html</w:t>
      </w:r>
    </w:p>
  </w:footnote>
  <w:footnote w:id="33">
    <w:p w14:paraId="55A2B4A9" w14:textId="4C899FB9" w:rsidR="00CA4DF8" w:rsidRPr="00C9002D" w:rsidRDefault="00CA4DF8">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https://www.hhs.gov/hipaa/for-professionals/privacy/special-topics/de-identification/index.html#rationale</w:t>
      </w:r>
    </w:p>
  </w:footnote>
  <w:footnote w:id="34">
    <w:p w14:paraId="4431E563"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https://www.hhs.gov/hipaa/for-professionals/privacy/special-topics/de-identification/index.html#rationale</w:t>
      </w:r>
    </w:p>
  </w:footnote>
  <w:footnote w:id="35">
    <w:p w14:paraId="4939E287" w14:textId="77777777" w:rsidR="00083D5B" w:rsidRPr="00C9002D" w:rsidRDefault="00083D5B" w:rsidP="00083D5B">
      <w:pPr>
        <w:pStyle w:val="FootnoteText"/>
        <w:rPr>
          <w:rFonts w:ascii="Times New Roman" w:hAnsi="Times New Roman" w:cs="Times New Roman"/>
        </w:rPr>
      </w:pPr>
      <w:r w:rsidRPr="00C9002D">
        <w:rPr>
          <w:rStyle w:val="FootnoteReference"/>
          <w:rFonts w:ascii="Times New Roman" w:hAnsi="Times New Roman" w:cs="Times New Roman"/>
        </w:rPr>
        <w:footnoteRef/>
      </w:r>
      <w:r w:rsidRPr="00C9002D">
        <w:rPr>
          <w:rFonts w:ascii="Times New Roman" w:hAnsi="Times New Roman" w:cs="Times New Roman"/>
        </w:rPr>
        <w:t xml:space="preserve"> http://www.health.state.mn.us/e-health/legrpt/docs/rfi-health-record-act2017.pdf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C3D"/>
    <w:multiLevelType w:val="hybridMultilevel"/>
    <w:tmpl w:val="BBE0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643E3"/>
    <w:multiLevelType w:val="hybridMultilevel"/>
    <w:tmpl w:val="4C4EB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DD4158"/>
    <w:multiLevelType w:val="hybridMultilevel"/>
    <w:tmpl w:val="3080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17FBE"/>
    <w:multiLevelType w:val="hybridMultilevel"/>
    <w:tmpl w:val="BE82F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F0BED"/>
    <w:multiLevelType w:val="hybridMultilevel"/>
    <w:tmpl w:val="8566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C267F"/>
    <w:multiLevelType w:val="hybridMultilevel"/>
    <w:tmpl w:val="304A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4B96"/>
    <w:multiLevelType w:val="hybridMultilevel"/>
    <w:tmpl w:val="A8E00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B5378"/>
    <w:multiLevelType w:val="hybridMultilevel"/>
    <w:tmpl w:val="F02C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377E5B"/>
    <w:multiLevelType w:val="hybridMultilevel"/>
    <w:tmpl w:val="F5E02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31593"/>
    <w:multiLevelType w:val="hybridMultilevel"/>
    <w:tmpl w:val="BAFA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24F99"/>
    <w:multiLevelType w:val="hybridMultilevel"/>
    <w:tmpl w:val="EE8ABD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37C3438"/>
    <w:multiLevelType w:val="hybridMultilevel"/>
    <w:tmpl w:val="1E6A25B4"/>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2" w15:restartNumberingAfterBreak="0">
    <w:nsid w:val="442A481B"/>
    <w:multiLevelType w:val="hybridMultilevel"/>
    <w:tmpl w:val="CCC2E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94270"/>
    <w:multiLevelType w:val="hybridMultilevel"/>
    <w:tmpl w:val="12BC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734E7"/>
    <w:multiLevelType w:val="hybridMultilevel"/>
    <w:tmpl w:val="8E1C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77EB0"/>
    <w:multiLevelType w:val="hybridMultilevel"/>
    <w:tmpl w:val="0E16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E7E86"/>
    <w:multiLevelType w:val="hybridMultilevel"/>
    <w:tmpl w:val="64CC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00C30"/>
    <w:multiLevelType w:val="hybridMultilevel"/>
    <w:tmpl w:val="79508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7678BB"/>
    <w:multiLevelType w:val="hybridMultilevel"/>
    <w:tmpl w:val="C3F8A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91CCB"/>
    <w:multiLevelType w:val="hybridMultilevel"/>
    <w:tmpl w:val="8C32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84262"/>
    <w:multiLevelType w:val="hybridMultilevel"/>
    <w:tmpl w:val="BFD00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A6D58"/>
    <w:multiLevelType w:val="hybridMultilevel"/>
    <w:tmpl w:val="43FC7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E1814"/>
    <w:multiLevelType w:val="hybridMultilevel"/>
    <w:tmpl w:val="C8C6D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438C2"/>
    <w:multiLevelType w:val="hybridMultilevel"/>
    <w:tmpl w:val="3FD2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10B09"/>
    <w:multiLevelType w:val="hybridMultilevel"/>
    <w:tmpl w:val="F5A20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21"/>
  </w:num>
  <w:num w:numId="5">
    <w:abstractNumId w:val="3"/>
  </w:num>
  <w:num w:numId="6">
    <w:abstractNumId w:val="12"/>
  </w:num>
  <w:num w:numId="7">
    <w:abstractNumId w:val="4"/>
  </w:num>
  <w:num w:numId="8">
    <w:abstractNumId w:val="9"/>
  </w:num>
  <w:num w:numId="9">
    <w:abstractNumId w:val="2"/>
  </w:num>
  <w:num w:numId="10">
    <w:abstractNumId w:val="22"/>
  </w:num>
  <w:num w:numId="11">
    <w:abstractNumId w:val="14"/>
  </w:num>
  <w:num w:numId="12">
    <w:abstractNumId w:val="10"/>
  </w:num>
  <w:num w:numId="13">
    <w:abstractNumId w:val="5"/>
  </w:num>
  <w:num w:numId="14">
    <w:abstractNumId w:val="18"/>
  </w:num>
  <w:num w:numId="15">
    <w:abstractNumId w:val="19"/>
  </w:num>
  <w:num w:numId="16">
    <w:abstractNumId w:val="6"/>
  </w:num>
  <w:num w:numId="17">
    <w:abstractNumId w:val="15"/>
  </w:num>
  <w:num w:numId="18">
    <w:abstractNumId w:val="24"/>
  </w:num>
  <w:num w:numId="19">
    <w:abstractNumId w:val="13"/>
  </w:num>
  <w:num w:numId="20">
    <w:abstractNumId w:val="1"/>
  </w:num>
  <w:num w:numId="21">
    <w:abstractNumId w:val="16"/>
  </w:num>
  <w:num w:numId="22">
    <w:abstractNumId w:val="17"/>
  </w:num>
  <w:num w:numId="23">
    <w:abstractNumId w:val="23"/>
  </w:num>
  <w:num w:numId="24">
    <w:abstractNumId w:val="11"/>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5B"/>
    <w:rsid w:val="0000024A"/>
    <w:rsid w:val="0000260D"/>
    <w:rsid w:val="00005CB9"/>
    <w:rsid w:val="0001087D"/>
    <w:rsid w:val="00022C3B"/>
    <w:rsid w:val="00030B7D"/>
    <w:rsid w:val="000413E0"/>
    <w:rsid w:val="00041C97"/>
    <w:rsid w:val="00044C30"/>
    <w:rsid w:val="000468E0"/>
    <w:rsid w:val="00056508"/>
    <w:rsid w:val="000614BA"/>
    <w:rsid w:val="00063C9D"/>
    <w:rsid w:val="000715A6"/>
    <w:rsid w:val="00080DD2"/>
    <w:rsid w:val="00083D5B"/>
    <w:rsid w:val="00090A6B"/>
    <w:rsid w:val="000972C1"/>
    <w:rsid w:val="000C0CBA"/>
    <w:rsid w:val="000C6F97"/>
    <w:rsid w:val="000E6443"/>
    <w:rsid w:val="000F0A4C"/>
    <w:rsid w:val="001016A5"/>
    <w:rsid w:val="00101DEA"/>
    <w:rsid w:val="001026A7"/>
    <w:rsid w:val="0011350F"/>
    <w:rsid w:val="001313C1"/>
    <w:rsid w:val="00137028"/>
    <w:rsid w:val="00142D01"/>
    <w:rsid w:val="00143FB7"/>
    <w:rsid w:val="00153E9E"/>
    <w:rsid w:val="00156305"/>
    <w:rsid w:val="0016161C"/>
    <w:rsid w:val="001715E3"/>
    <w:rsid w:val="001775B3"/>
    <w:rsid w:val="00177653"/>
    <w:rsid w:val="00180C10"/>
    <w:rsid w:val="001814CC"/>
    <w:rsid w:val="00181C06"/>
    <w:rsid w:val="00194C97"/>
    <w:rsid w:val="001A2156"/>
    <w:rsid w:val="001A6276"/>
    <w:rsid w:val="001B4AB3"/>
    <w:rsid w:val="001C03D3"/>
    <w:rsid w:val="001C3B2F"/>
    <w:rsid w:val="001C4DFF"/>
    <w:rsid w:val="001D350F"/>
    <w:rsid w:val="001F7E1F"/>
    <w:rsid w:val="00204B02"/>
    <w:rsid w:val="00226000"/>
    <w:rsid w:val="002347C2"/>
    <w:rsid w:val="00243513"/>
    <w:rsid w:val="002579B9"/>
    <w:rsid w:val="00264817"/>
    <w:rsid w:val="00281D89"/>
    <w:rsid w:val="00290A5C"/>
    <w:rsid w:val="00293D41"/>
    <w:rsid w:val="00294ED7"/>
    <w:rsid w:val="00297CB5"/>
    <w:rsid w:val="002A2152"/>
    <w:rsid w:val="002A7EE9"/>
    <w:rsid w:val="002C2127"/>
    <w:rsid w:val="002C78F3"/>
    <w:rsid w:val="002E0E58"/>
    <w:rsid w:val="002E29D8"/>
    <w:rsid w:val="002F44B7"/>
    <w:rsid w:val="002F4650"/>
    <w:rsid w:val="002F66F1"/>
    <w:rsid w:val="003166F6"/>
    <w:rsid w:val="00324715"/>
    <w:rsid w:val="0032553A"/>
    <w:rsid w:val="003308FF"/>
    <w:rsid w:val="0033090B"/>
    <w:rsid w:val="003460C6"/>
    <w:rsid w:val="00346E28"/>
    <w:rsid w:val="0034718B"/>
    <w:rsid w:val="003517CE"/>
    <w:rsid w:val="00364A72"/>
    <w:rsid w:val="00371B56"/>
    <w:rsid w:val="00390F30"/>
    <w:rsid w:val="00395327"/>
    <w:rsid w:val="003B763F"/>
    <w:rsid w:val="003D3067"/>
    <w:rsid w:val="003D3860"/>
    <w:rsid w:val="003F0474"/>
    <w:rsid w:val="00402FCF"/>
    <w:rsid w:val="00410047"/>
    <w:rsid w:val="00412819"/>
    <w:rsid w:val="00422496"/>
    <w:rsid w:val="00426ACD"/>
    <w:rsid w:val="00431F22"/>
    <w:rsid w:val="004578C7"/>
    <w:rsid w:val="00457930"/>
    <w:rsid w:val="00463E99"/>
    <w:rsid w:val="00467949"/>
    <w:rsid w:val="0047424D"/>
    <w:rsid w:val="00474758"/>
    <w:rsid w:val="00475E0B"/>
    <w:rsid w:val="004763C3"/>
    <w:rsid w:val="00481FAB"/>
    <w:rsid w:val="0048263E"/>
    <w:rsid w:val="00487C03"/>
    <w:rsid w:val="0049002A"/>
    <w:rsid w:val="004B73E5"/>
    <w:rsid w:val="004D1EA2"/>
    <w:rsid w:val="004D6DB5"/>
    <w:rsid w:val="004D7B43"/>
    <w:rsid w:val="004F7C1A"/>
    <w:rsid w:val="00501944"/>
    <w:rsid w:val="005079CE"/>
    <w:rsid w:val="00514D20"/>
    <w:rsid w:val="005152F6"/>
    <w:rsid w:val="00521318"/>
    <w:rsid w:val="00521559"/>
    <w:rsid w:val="00526D8B"/>
    <w:rsid w:val="00532EAA"/>
    <w:rsid w:val="00536AB2"/>
    <w:rsid w:val="00547A9E"/>
    <w:rsid w:val="00562D58"/>
    <w:rsid w:val="00570E93"/>
    <w:rsid w:val="00572217"/>
    <w:rsid w:val="0057497C"/>
    <w:rsid w:val="005827C5"/>
    <w:rsid w:val="005836C5"/>
    <w:rsid w:val="005919DD"/>
    <w:rsid w:val="00593F3F"/>
    <w:rsid w:val="005A26F9"/>
    <w:rsid w:val="005A5A0E"/>
    <w:rsid w:val="005A6417"/>
    <w:rsid w:val="005B182A"/>
    <w:rsid w:val="005C1349"/>
    <w:rsid w:val="005C51E2"/>
    <w:rsid w:val="005C747D"/>
    <w:rsid w:val="005D03BC"/>
    <w:rsid w:val="005D1696"/>
    <w:rsid w:val="005D1F4C"/>
    <w:rsid w:val="005E2E74"/>
    <w:rsid w:val="005E7810"/>
    <w:rsid w:val="005F4D9B"/>
    <w:rsid w:val="006460B3"/>
    <w:rsid w:val="006474DE"/>
    <w:rsid w:val="006621DF"/>
    <w:rsid w:val="00663C54"/>
    <w:rsid w:val="00664881"/>
    <w:rsid w:val="00666A83"/>
    <w:rsid w:val="00666F8E"/>
    <w:rsid w:val="006734EA"/>
    <w:rsid w:val="006772DE"/>
    <w:rsid w:val="0069357D"/>
    <w:rsid w:val="0069415A"/>
    <w:rsid w:val="00697671"/>
    <w:rsid w:val="006A18B3"/>
    <w:rsid w:val="006A2635"/>
    <w:rsid w:val="006A3487"/>
    <w:rsid w:val="006A61DA"/>
    <w:rsid w:val="006A6F3B"/>
    <w:rsid w:val="006B4A30"/>
    <w:rsid w:val="006D09DC"/>
    <w:rsid w:val="006E26C5"/>
    <w:rsid w:val="006E64AF"/>
    <w:rsid w:val="00700133"/>
    <w:rsid w:val="00700507"/>
    <w:rsid w:val="007026B5"/>
    <w:rsid w:val="007116E7"/>
    <w:rsid w:val="0071587E"/>
    <w:rsid w:val="00717666"/>
    <w:rsid w:val="00726ECD"/>
    <w:rsid w:val="00731341"/>
    <w:rsid w:val="00743B00"/>
    <w:rsid w:val="00745140"/>
    <w:rsid w:val="00746D8F"/>
    <w:rsid w:val="007679E5"/>
    <w:rsid w:val="00771468"/>
    <w:rsid w:val="00782274"/>
    <w:rsid w:val="0078739A"/>
    <w:rsid w:val="00793994"/>
    <w:rsid w:val="00794456"/>
    <w:rsid w:val="007A391E"/>
    <w:rsid w:val="007C2A8B"/>
    <w:rsid w:val="007D020B"/>
    <w:rsid w:val="007D2661"/>
    <w:rsid w:val="007D2D0A"/>
    <w:rsid w:val="007D6EA5"/>
    <w:rsid w:val="007E2F42"/>
    <w:rsid w:val="007F43F6"/>
    <w:rsid w:val="007F694C"/>
    <w:rsid w:val="00805CB3"/>
    <w:rsid w:val="00811014"/>
    <w:rsid w:val="0081195F"/>
    <w:rsid w:val="0081620F"/>
    <w:rsid w:val="0082512C"/>
    <w:rsid w:val="00833D8E"/>
    <w:rsid w:val="00834A63"/>
    <w:rsid w:val="00835B31"/>
    <w:rsid w:val="00835B87"/>
    <w:rsid w:val="00837387"/>
    <w:rsid w:val="00842EC5"/>
    <w:rsid w:val="0084741E"/>
    <w:rsid w:val="00853CA9"/>
    <w:rsid w:val="00864C84"/>
    <w:rsid w:val="0086662F"/>
    <w:rsid w:val="00866E82"/>
    <w:rsid w:val="00870BC8"/>
    <w:rsid w:val="008732DC"/>
    <w:rsid w:val="00890158"/>
    <w:rsid w:val="0089061C"/>
    <w:rsid w:val="00896F64"/>
    <w:rsid w:val="008C25CD"/>
    <w:rsid w:val="008D16DA"/>
    <w:rsid w:val="008D239E"/>
    <w:rsid w:val="008E48C3"/>
    <w:rsid w:val="008E6D72"/>
    <w:rsid w:val="008F136D"/>
    <w:rsid w:val="00915082"/>
    <w:rsid w:val="009173CA"/>
    <w:rsid w:val="00920487"/>
    <w:rsid w:val="00924A60"/>
    <w:rsid w:val="009264F9"/>
    <w:rsid w:val="00935E59"/>
    <w:rsid w:val="00936EE7"/>
    <w:rsid w:val="00946BF1"/>
    <w:rsid w:val="00946D68"/>
    <w:rsid w:val="00953A4D"/>
    <w:rsid w:val="009548B9"/>
    <w:rsid w:val="00956174"/>
    <w:rsid w:val="00965F51"/>
    <w:rsid w:val="009743A8"/>
    <w:rsid w:val="009807D5"/>
    <w:rsid w:val="00991D6E"/>
    <w:rsid w:val="00995DCD"/>
    <w:rsid w:val="00997683"/>
    <w:rsid w:val="009C3BDC"/>
    <w:rsid w:val="009C78F4"/>
    <w:rsid w:val="009D0267"/>
    <w:rsid w:val="009E07C0"/>
    <w:rsid w:val="009E489C"/>
    <w:rsid w:val="009E5256"/>
    <w:rsid w:val="009E6653"/>
    <w:rsid w:val="009E7EC3"/>
    <w:rsid w:val="009F3E46"/>
    <w:rsid w:val="00A031FA"/>
    <w:rsid w:val="00A0396D"/>
    <w:rsid w:val="00A04CEB"/>
    <w:rsid w:val="00A10E5E"/>
    <w:rsid w:val="00A248AE"/>
    <w:rsid w:val="00A25A30"/>
    <w:rsid w:val="00A33A6D"/>
    <w:rsid w:val="00A34613"/>
    <w:rsid w:val="00A35FFA"/>
    <w:rsid w:val="00A41FBA"/>
    <w:rsid w:val="00A44852"/>
    <w:rsid w:val="00A67B33"/>
    <w:rsid w:val="00A73383"/>
    <w:rsid w:val="00A75A37"/>
    <w:rsid w:val="00A760CF"/>
    <w:rsid w:val="00A84CB9"/>
    <w:rsid w:val="00A965C6"/>
    <w:rsid w:val="00AA0DE4"/>
    <w:rsid w:val="00AB2E89"/>
    <w:rsid w:val="00AB3593"/>
    <w:rsid w:val="00AC1421"/>
    <w:rsid w:val="00AC45A2"/>
    <w:rsid w:val="00AD6629"/>
    <w:rsid w:val="00AF1303"/>
    <w:rsid w:val="00AF1ACC"/>
    <w:rsid w:val="00AF4E42"/>
    <w:rsid w:val="00B00818"/>
    <w:rsid w:val="00B166E1"/>
    <w:rsid w:val="00B175CB"/>
    <w:rsid w:val="00B31AB5"/>
    <w:rsid w:val="00B47AC1"/>
    <w:rsid w:val="00B51287"/>
    <w:rsid w:val="00B70180"/>
    <w:rsid w:val="00B710D6"/>
    <w:rsid w:val="00B82262"/>
    <w:rsid w:val="00B85935"/>
    <w:rsid w:val="00B87674"/>
    <w:rsid w:val="00B92008"/>
    <w:rsid w:val="00BA4D9B"/>
    <w:rsid w:val="00BB16EF"/>
    <w:rsid w:val="00BB2CCB"/>
    <w:rsid w:val="00BB539C"/>
    <w:rsid w:val="00BE4534"/>
    <w:rsid w:val="00BE4948"/>
    <w:rsid w:val="00BE5C88"/>
    <w:rsid w:val="00BE7E9F"/>
    <w:rsid w:val="00BF3C46"/>
    <w:rsid w:val="00C22410"/>
    <w:rsid w:val="00C3217A"/>
    <w:rsid w:val="00C3229F"/>
    <w:rsid w:val="00C374C9"/>
    <w:rsid w:val="00C43A68"/>
    <w:rsid w:val="00C4543E"/>
    <w:rsid w:val="00C529BB"/>
    <w:rsid w:val="00C60841"/>
    <w:rsid w:val="00C61C30"/>
    <w:rsid w:val="00C80ED2"/>
    <w:rsid w:val="00C86002"/>
    <w:rsid w:val="00C9002D"/>
    <w:rsid w:val="00C96D1C"/>
    <w:rsid w:val="00CA4DF8"/>
    <w:rsid w:val="00CA73B5"/>
    <w:rsid w:val="00CB2ECF"/>
    <w:rsid w:val="00CB4A5B"/>
    <w:rsid w:val="00CC386F"/>
    <w:rsid w:val="00CD04E4"/>
    <w:rsid w:val="00CD5827"/>
    <w:rsid w:val="00CD58D0"/>
    <w:rsid w:val="00CE5CCB"/>
    <w:rsid w:val="00CF3FFF"/>
    <w:rsid w:val="00D04D6A"/>
    <w:rsid w:val="00D06446"/>
    <w:rsid w:val="00D07829"/>
    <w:rsid w:val="00D107DB"/>
    <w:rsid w:val="00D10BE6"/>
    <w:rsid w:val="00D12C0B"/>
    <w:rsid w:val="00D5069E"/>
    <w:rsid w:val="00D52CC7"/>
    <w:rsid w:val="00D56CAA"/>
    <w:rsid w:val="00D56F19"/>
    <w:rsid w:val="00D6244F"/>
    <w:rsid w:val="00D63D9D"/>
    <w:rsid w:val="00D95CD4"/>
    <w:rsid w:val="00DA3CEE"/>
    <w:rsid w:val="00DA4E07"/>
    <w:rsid w:val="00DB3561"/>
    <w:rsid w:val="00DC4FC3"/>
    <w:rsid w:val="00DC5A7F"/>
    <w:rsid w:val="00DD4FF4"/>
    <w:rsid w:val="00DD7909"/>
    <w:rsid w:val="00DE029B"/>
    <w:rsid w:val="00DE1AF2"/>
    <w:rsid w:val="00DE2D24"/>
    <w:rsid w:val="00DF1902"/>
    <w:rsid w:val="00DF2156"/>
    <w:rsid w:val="00E06B28"/>
    <w:rsid w:val="00E077BE"/>
    <w:rsid w:val="00E211BD"/>
    <w:rsid w:val="00E42F3E"/>
    <w:rsid w:val="00E44795"/>
    <w:rsid w:val="00E54B2E"/>
    <w:rsid w:val="00E6041C"/>
    <w:rsid w:val="00E61235"/>
    <w:rsid w:val="00E624CF"/>
    <w:rsid w:val="00E67E83"/>
    <w:rsid w:val="00E752A9"/>
    <w:rsid w:val="00E77923"/>
    <w:rsid w:val="00E85FCD"/>
    <w:rsid w:val="00E906E9"/>
    <w:rsid w:val="00E9129C"/>
    <w:rsid w:val="00EA002D"/>
    <w:rsid w:val="00EA6620"/>
    <w:rsid w:val="00EB578D"/>
    <w:rsid w:val="00EC0E21"/>
    <w:rsid w:val="00EC3AAF"/>
    <w:rsid w:val="00EC5183"/>
    <w:rsid w:val="00ED1EC3"/>
    <w:rsid w:val="00ED2290"/>
    <w:rsid w:val="00ED2A3A"/>
    <w:rsid w:val="00ED5722"/>
    <w:rsid w:val="00ED6BBA"/>
    <w:rsid w:val="00EE0468"/>
    <w:rsid w:val="00EE5320"/>
    <w:rsid w:val="00EF18A1"/>
    <w:rsid w:val="00EF3B0C"/>
    <w:rsid w:val="00F12137"/>
    <w:rsid w:val="00F170C8"/>
    <w:rsid w:val="00F23EE1"/>
    <w:rsid w:val="00F30CD9"/>
    <w:rsid w:val="00F30E14"/>
    <w:rsid w:val="00F31730"/>
    <w:rsid w:val="00F32A5F"/>
    <w:rsid w:val="00F35743"/>
    <w:rsid w:val="00F46B28"/>
    <w:rsid w:val="00F52856"/>
    <w:rsid w:val="00F55658"/>
    <w:rsid w:val="00F56B08"/>
    <w:rsid w:val="00F64881"/>
    <w:rsid w:val="00F67078"/>
    <w:rsid w:val="00F93B35"/>
    <w:rsid w:val="00FA17CF"/>
    <w:rsid w:val="00FC2A6D"/>
    <w:rsid w:val="00FC30A9"/>
    <w:rsid w:val="00FC56B1"/>
    <w:rsid w:val="00FD053C"/>
    <w:rsid w:val="00FE16FF"/>
    <w:rsid w:val="00FE5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C44A"/>
  <w15:chartTrackingRefBased/>
  <w15:docId w15:val="{CBFB73EB-A459-4C3D-8435-0421971C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D5B"/>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D5B"/>
    <w:pPr>
      <w:ind w:left="720"/>
      <w:contextualSpacing/>
    </w:pPr>
  </w:style>
  <w:style w:type="paragraph" w:styleId="FootnoteText">
    <w:name w:val="footnote text"/>
    <w:basedOn w:val="Normal"/>
    <w:link w:val="FootnoteTextChar"/>
    <w:uiPriority w:val="99"/>
    <w:unhideWhenUsed/>
    <w:rsid w:val="00083D5B"/>
  </w:style>
  <w:style w:type="character" w:customStyle="1" w:styleId="FootnoteTextChar">
    <w:name w:val="Footnote Text Char"/>
    <w:basedOn w:val="DefaultParagraphFont"/>
    <w:link w:val="FootnoteText"/>
    <w:uiPriority w:val="99"/>
    <w:rsid w:val="00083D5B"/>
    <w:rPr>
      <w:sz w:val="24"/>
      <w:szCs w:val="24"/>
    </w:rPr>
  </w:style>
  <w:style w:type="character" w:styleId="FootnoteReference">
    <w:name w:val="footnote reference"/>
    <w:basedOn w:val="DefaultParagraphFont"/>
    <w:uiPriority w:val="99"/>
    <w:unhideWhenUsed/>
    <w:rsid w:val="00083D5B"/>
    <w:rPr>
      <w:vertAlign w:val="superscript"/>
    </w:rPr>
  </w:style>
  <w:style w:type="character" w:styleId="Hyperlink">
    <w:name w:val="Hyperlink"/>
    <w:basedOn w:val="DefaultParagraphFont"/>
    <w:uiPriority w:val="99"/>
    <w:unhideWhenUsed/>
    <w:rsid w:val="00083D5B"/>
    <w:rPr>
      <w:color w:val="0563C1" w:themeColor="hyperlink"/>
      <w:u w:val="single"/>
    </w:rPr>
  </w:style>
  <w:style w:type="paragraph" w:styleId="Footer">
    <w:name w:val="footer"/>
    <w:basedOn w:val="Normal"/>
    <w:link w:val="FooterChar"/>
    <w:uiPriority w:val="99"/>
    <w:unhideWhenUsed/>
    <w:rsid w:val="00D10BE6"/>
    <w:pPr>
      <w:tabs>
        <w:tab w:val="center" w:pos="4680"/>
        <w:tab w:val="right" w:pos="9360"/>
      </w:tabs>
    </w:pPr>
  </w:style>
  <w:style w:type="character" w:customStyle="1" w:styleId="FooterChar">
    <w:name w:val="Footer Char"/>
    <w:basedOn w:val="DefaultParagraphFont"/>
    <w:link w:val="Footer"/>
    <w:uiPriority w:val="99"/>
    <w:rsid w:val="00D10BE6"/>
    <w:rPr>
      <w:sz w:val="24"/>
      <w:szCs w:val="24"/>
    </w:rPr>
  </w:style>
  <w:style w:type="paragraph" w:styleId="EndnoteText">
    <w:name w:val="endnote text"/>
    <w:basedOn w:val="Normal"/>
    <w:link w:val="EndnoteTextChar"/>
    <w:uiPriority w:val="99"/>
    <w:unhideWhenUsed/>
    <w:rsid w:val="002E29D8"/>
  </w:style>
  <w:style w:type="character" w:customStyle="1" w:styleId="EndnoteTextChar">
    <w:name w:val="Endnote Text Char"/>
    <w:basedOn w:val="DefaultParagraphFont"/>
    <w:link w:val="EndnoteText"/>
    <w:uiPriority w:val="99"/>
    <w:rsid w:val="002E29D8"/>
    <w:rPr>
      <w:sz w:val="24"/>
      <w:szCs w:val="24"/>
    </w:rPr>
  </w:style>
  <w:style w:type="character" w:styleId="EndnoteReference">
    <w:name w:val="endnote reference"/>
    <w:basedOn w:val="DefaultParagraphFont"/>
    <w:uiPriority w:val="99"/>
    <w:unhideWhenUsed/>
    <w:rsid w:val="002E29D8"/>
    <w:rPr>
      <w:vertAlign w:val="superscript"/>
    </w:rPr>
  </w:style>
  <w:style w:type="paragraph" w:styleId="Header">
    <w:name w:val="header"/>
    <w:basedOn w:val="Normal"/>
    <w:link w:val="HeaderChar"/>
    <w:uiPriority w:val="99"/>
    <w:unhideWhenUsed/>
    <w:rsid w:val="002347C2"/>
    <w:pPr>
      <w:tabs>
        <w:tab w:val="center" w:pos="4680"/>
        <w:tab w:val="right" w:pos="9360"/>
      </w:tabs>
    </w:pPr>
  </w:style>
  <w:style w:type="character" w:customStyle="1" w:styleId="HeaderChar">
    <w:name w:val="Header Char"/>
    <w:basedOn w:val="DefaultParagraphFont"/>
    <w:link w:val="Header"/>
    <w:uiPriority w:val="99"/>
    <w:rsid w:val="002347C2"/>
    <w:rPr>
      <w:sz w:val="24"/>
      <w:szCs w:val="24"/>
    </w:rPr>
  </w:style>
  <w:style w:type="character" w:styleId="PageNumber">
    <w:name w:val="page number"/>
    <w:basedOn w:val="DefaultParagraphFont"/>
    <w:uiPriority w:val="99"/>
    <w:semiHidden/>
    <w:unhideWhenUsed/>
    <w:rsid w:val="00234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107">
      <w:bodyDiv w:val="1"/>
      <w:marLeft w:val="0"/>
      <w:marRight w:val="0"/>
      <w:marTop w:val="0"/>
      <w:marBottom w:val="0"/>
      <w:divBdr>
        <w:top w:val="none" w:sz="0" w:space="0" w:color="auto"/>
        <w:left w:val="none" w:sz="0" w:space="0" w:color="auto"/>
        <w:bottom w:val="none" w:sz="0" w:space="0" w:color="auto"/>
        <w:right w:val="none" w:sz="0" w:space="0" w:color="auto"/>
      </w:divBdr>
    </w:div>
    <w:div w:id="769664418">
      <w:bodyDiv w:val="1"/>
      <w:marLeft w:val="0"/>
      <w:marRight w:val="0"/>
      <w:marTop w:val="0"/>
      <w:marBottom w:val="0"/>
      <w:divBdr>
        <w:top w:val="none" w:sz="0" w:space="0" w:color="auto"/>
        <w:left w:val="none" w:sz="0" w:space="0" w:color="auto"/>
        <w:bottom w:val="none" w:sz="0" w:space="0" w:color="auto"/>
        <w:right w:val="none" w:sz="0" w:space="0" w:color="auto"/>
      </w:divBdr>
    </w:div>
    <w:div w:id="949970431">
      <w:bodyDiv w:val="1"/>
      <w:marLeft w:val="0"/>
      <w:marRight w:val="0"/>
      <w:marTop w:val="0"/>
      <w:marBottom w:val="0"/>
      <w:divBdr>
        <w:top w:val="none" w:sz="0" w:space="0" w:color="auto"/>
        <w:left w:val="none" w:sz="0" w:space="0" w:color="auto"/>
        <w:bottom w:val="none" w:sz="0" w:space="0" w:color="auto"/>
        <w:right w:val="none" w:sz="0" w:space="0" w:color="auto"/>
      </w:divBdr>
    </w:div>
    <w:div w:id="1266032659">
      <w:bodyDiv w:val="1"/>
      <w:marLeft w:val="0"/>
      <w:marRight w:val="0"/>
      <w:marTop w:val="0"/>
      <w:marBottom w:val="0"/>
      <w:divBdr>
        <w:top w:val="none" w:sz="0" w:space="0" w:color="auto"/>
        <w:left w:val="none" w:sz="0" w:space="0" w:color="auto"/>
        <w:bottom w:val="none" w:sz="0" w:space="0" w:color="auto"/>
        <w:right w:val="none" w:sz="0" w:space="0" w:color="auto"/>
      </w:divBdr>
    </w:div>
    <w:div w:id="19976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Regulations-and-Guidance/Administrative-Simplification/HIPAA-ACA/Downloads/CoveredEntitiesChart20160617.pdf" TargetMode="External"/><Relationship Id="rId5" Type="http://schemas.openxmlformats.org/officeDocument/2006/relationships/webSettings" Target="webSettings.xml"/><Relationship Id="rId15" Type="http://schemas.openxmlformats.org/officeDocument/2006/relationships/hyperlink" Target="https://www.ahrq.gov/professionals/prevention-chronic-care/improve/coordination/atlas2014/jumpstart-guide.html"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health.state.mn.us/divs/hpsc/dap/noti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FA38A-2485-42CF-AD6E-109E8677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8069</Words>
  <Characters>45996</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Questions and Answers: Health Insurance Portability Accountability Act and Minnesota Health Records Act</dc:title>
  <dc:subject/>
  <dc:creator>LCC</dc:creator>
  <cp:keywords/>
  <dc:description/>
  <cp:lastModifiedBy>Sally Olson</cp:lastModifiedBy>
  <cp:revision>2</cp:revision>
  <dcterms:created xsi:type="dcterms:W3CDTF">2018-08-20T15:28:00Z</dcterms:created>
  <dcterms:modified xsi:type="dcterms:W3CDTF">2018-08-20T15:28:00Z</dcterms:modified>
</cp:coreProperties>
</file>